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w:t>
      </w:r>
      <w:r w:rsidR="00CE121F">
        <w:rPr>
          <w:rFonts w:cstheme="minorHAnsi"/>
          <w:sz w:val="20"/>
          <w:szCs w:val="20"/>
        </w:rPr>
        <w:t>mówień publicznych (Dz. U. z 2024 r., poz. 1320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996677" w:rsidRDefault="00F30794" w:rsidP="00F30794">
      <w:pPr>
        <w:spacing w:line="276" w:lineRule="auto"/>
        <w:jc w:val="center"/>
        <w:rPr>
          <w:rFonts w:cstheme="minorHAnsi"/>
          <w:b/>
          <w:sz w:val="24"/>
          <w:szCs w:val="24"/>
        </w:rPr>
      </w:pPr>
      <w:r>
        <w:rPr>
          <w:rFonts w:cstheme="minorHAnsi"/>
          <w:b/>
          <w:sz w:val="24"/>
          <w:szCs w:val="24"/>
        </w:rPr>
        <w:t>„</w:t>
      </w:r>
      <w:r w:rsidR="00FD6AE6">
        <w:rPr>
          <w:rFonts w:cstheme="minorHAnsi"/>
          <w:b/>
          <w:sz w:val="24"/>
          <w:szCs w:val="24"/>
        </w:rPr>
        <w:t xml:space="preserve">Sukcesywne dostawy materiałów </w:t>
      </w:r>
      <w:r w:rsidR="00036197">
        <w:rPr>
          <w:rFonts w:cstheme="minorHAnsi"/>
          <w:b/>
          <w:sz w:val="24"/>
          <w:szCs w:val="24"/>
        </w:rPr>
        <w:t>stomatologicznych</w:t>
      </w:r>
      <w:r>
        <w:rPr>
          <w:rFonts w:cstheme="minorHAnsi"/>
          <w:b/>
          <w:sz w:val="24"/>
          <w:szCs w:val="24"/>
        </w:rPr>
        <w:t>”</w:t>
      </w:r>
    </w:p>
    <w:p w:rsidR="00F30794" w:rsidRPr="00F30794" w:rsidRDefault="00F30794" w:rsidP="00F30794">
      <w:pPr>
        <w:spacing w:line="276" w:lineRule="auto"/>
        <w:jc w:val="center"/>
        <w:rPr>
          <w:rFonts w:cstheme="minorHAnsi"/>
          <w:b/>
          <w:sz w:val="24"/>
          <w:szCs w:val="24"/>
        </w:rPr>
      </w:pPr>
    </w:p>
    <w:p w:rsidR="00996677" w:rsidRPr="00246969" w:rsidRDefault="00E85C09">
      <w:pPr>
        <w:spacing w:line="276" w:lineRule="auto"/>
        <w:jc w:val="both"/>
        <w:rPr>
          <w:rFonts w:cstheme="minorHAnsi"/>
          <w:sz w:val="20"/>
          <w:szCs w:val="20"/>
        </w:rPr>
      </w:pPr>
      <w:r w:rsidRPr="008365BA">
        <w:rPr>
          <w:rFonts w:cstheme="minorHAnsi"/>
          <w:sz w:val="20"/>
          <w:szCs w:val="20"/>
        </w:rPr>
        <w:t xml:space="preserve">Warszawa, dnia </w:t>
      </w:r>
      <w:r w:rsidR="00BC7390" w:rsidRPr="008365BA">
        <w:rPr>
          <w:rFonts w:cstheme="minorHAnsi"/>
          <w:sz w:val="20"/>
          <w:szCs w:val="20"/>
        </w:rPr>
        <w:t>13.</w:t>
      </w:r>
      <w:r w:rsidR="00ED7CD3" w:rsidRPr="008365BA">
        <w:rPr>
          <w:rFonts w:cstheme="minorHAnsi"/>
          <w:sz w:val="20"/>
          <w:szCs w:val="20"/>
        </w:rPr>
        <w:t>09</w:t>
      </w:r>
      <w:r w:rsidR="00F40186" w:rsidRPr="008365BA">
        <w:rPr>
          <w:rFonts w:cstheme="minorHAnsi"/>
          <w:sz w:val="20"/>
          <w:szCs w:val="20"/>
        </w:rPr>
        <w:t>.2024 r.</w:t>
      </w: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036197">
      <w:pPr>
        <w:spacing w:line="276" w:lineRule="auto"/>
        <w:jc w:val="both"/>
        <w:rPr>
          <w:rFonts w:cstheme="minorHAnsi"/>
          <w:sz w:val="20"/>
          <w:szCs w:val="20"/>
        </w:rPr>
      </w:pPr>
      <w:r>
        <w:rPr>
          <w:rFonts w:cstheme="minorHAnsi"/>
          <w:sz w:val="20"/>
          <w:szCs w:val="20"/>
        </w:rPr>
        <w:t xml:space="preserve">p.o. </w:t>
      </w:r>
      <w:r w:rsidR="00E85C09" w:rsidRPr="00246969">
        <w:rPr>
          <w:rFonts w:cstheme="minorHAnsi"/>
          <w:sz w:val="20"/>
          <w:szCs w:val="20"/>
        </w:rPr>
        <w:t>Dyrektor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036197" w:rsidRDefault="00036197">
      <w:pPr>
        <w:spacing w:line="276" w:lineRule="auto"/>
        <w:jc w:val="both"/>
        <w:rPr>
          <w:rFonts w:cstheme="minorHAnsi"/>
          <w:sz w:val="20"/>
          <w:szCs w:val="20"/>
        </w:rPr>
      </w:pPr>
    </w:p>
    <w:p w:rsidR="008A1B3D" w:rsidRPr="00246969" w:rsidRDefault="00036197">
      <w:pPr>
        <w:spacing w:line="276" w:lineRule="auto"/>
        <w:jc w:val="both"/>
        <w:rPr>
          <w:rFonts w:cstheme="minorHAnsi"/>
          <w:sz w:val="20"/>
          <w:szCs w:val="20"/>
        </w:rPr>
      </w:pPr>
      <w:r>
        <w:rPr>
          <w:rFonts w:cstheme="minorHAnsi"/>
          <w:sz w:val="20"/>
          <w:szCs w:val="20"/>
        </w:rPr>
        <w:t>………………………………………</w:t>
      </w:r>
    </w:p>
    <w:p w:rsidR="00C46C05" w:rsidRDefault="004621D2">
      <w:pPr>
        <w:spacing w:line="276" w:lineRule="auto"/>
        <w:jc w:val="both"/>
        <w:rPr>
          <w:rFonts w:cstheme="minorHAnsi"/>
          <w:sz w:val="20"/>
          <w:szCs w:val="20"/>
        </w:rPr>
      </w:pPr>
      <w:r>
        <w:rPr>
          <w:rFonts w:cstheme="minorHAnsi"/>
          <w:sz w:val="20"/>
          <w:szCs w:val="20"/>
        </w:rPr>
        <w:t xml:space="preserve">/-/ </w:t>
      </w:r>
      <w:r w:rsidR="00036197">
        <w:rPr>
          <w:rFonts w:cstheme="minorHAnsi"/>
          <w:sz w:val="20"/>
          <w:szCs w:val="20"/>
        </w:rPr>
        <w:t>Piotr Sokołowski</w:t>
      </w:r>
    </w:p>
    <w:p w:rsidR="00996677" w:rsidRPr="00246969" w:rsidRDefault="00312B29">
      <w:pPr>
        <w:spacing w:line="276" w:lineRule="auto"/>
        <w:jc w:val="both"/>
        <w:rPr>
          <w:rFonts w:cstheme="minorHAnsi"/>
          <w:sz w:val="20"/>
          <w:szCs w:val="20"/>
        </w:rPr>
      </w:pPr>
      <w:r>
        <w:rPr>
          <w:rFonts w:cstheme="minorHAnsi"/>
          <w:sz w:val="20"/>
          <w:szCs w:val="20"/>
        </w:rPr>
        <w:t>(podpis, pieczęć imienna</w:t>
      </w:r>
      <w:r w:rsidR="00E85C09" w:rsidRPr="00246969">
        <w:rPr>
          <w:rFonts w:cstheme="minorHAnsi"/>
          <w:sz w:val="20"/>
          <w:szCs w:val="20"/>
        </w:rPr>
        <w:t>)</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F30794">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9B289C" w:rsidRDefault="009B289C">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Sposób obliczenia ceny.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8845D3"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D61770">
        <w:rPr>
          <w:rFonts w:cstheme="minorHAnsi"/>
          <w:sz w:val="20"/>
          <w:szCs w:val="20"/>
        </w:rPr>
        <w:t>4 r., poz. 1320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312B29" w:rsidRDefault="00915863" w:rsidP="00312B29">
      <w:pPr>
        <w:pStyle w:val="Akapitzlist"/>
        <w:numPr>
          <w:ilvl w:val="0"/>
          <w:numId w:val="25"/>
        </w:numPr>
        <w:tabs>
          <w:tab w:val="clear" w:pos="720"/>
          <w:tab w:val="num" w:pos="284"/>
        </w:tabs>
        <w:ind w:left="284" w:hanging="284"/>
        <w:jc w:val="both"/>
        <w:rPr>
          <w:rFonts w:cstheme="minorHAnsi"/>
          <w:sz w:val="20"/>
          <w:szCs w:val="20"/>
        </w:rPr>
      </w:pPr>
      <w:r w:rsidRPr="00246969">
        <w:rPr>
          <w:rFonts w:cstheme="minorHAnsi"/>
          <w:sz w:val="20"/>
          <w:szCs w:val="20"/>
        </w:rPr>
        <w:t>Przedmiotem zamówienia</w:t>
      </w:r>
      <w:r w:rsidR="00E85C09" w:rsidRPr="00246969">
        <w:rPr>
          <w:rFonts w:cstheme="minorHAnsi"/>
          <w:sz w:val="20"/>
          <w:szCs w:val="20"/>
        </w:rPr>
        <w:t xml:space="preserve"> jest </w:t>
      </w:r>
      <w:r w:rsidR="00FD6AE6" w:rsidRPr="00036197">
        <w:rPr>
          <w:rFonts w:cstheme="minorHAnsi"/>
          <w:b/>
          <w:sz w:val="20"/>
          <w:szCs w:val="20"/>
        </w:rPr>
        <w:t xml:space="preserve">Sukcesywna dostawa </w:t>
      </w:r>
      <w:r w:rsidR="00036197" w:rsidRPr="00036197">
        <w:rPr>
          <w:rFonts w:cstheme="minorHAnsi"/>
          <w:b/>
          <w:sz w:val="20"/>
          <w:szCs w:val="20"/>
        </w:rPr>
        <w:t>materiałów stomatologicznych.</w:t>
      </w:r>
    </w:p>
    <w:p w:rsidR="00064ED0" w:rsidRPr="00312B29" w:rsidRDefault="00064ED0" w:rsidP="00312B29">
      <w:pPr>
        <w:pStyle w:val="Akapitzlist"/>
        <w:numPr>
          <w:ilvl w:val="0"/>
          <w:numId w:val="25"/>
        </w:numPr>
        <w:tabs>
          <w:tab w:val="clear" w:pos="720"/>
          <w:tab w:val="num" w:pos="284"/>
        </w:tabs>
        <w:ind w:left="284" w:hanging="284"/>
        <w:jc w:val="both"/>
        <w:rPr>
          <w:rFonts w:cstheme="minorHAnsi"/>
          <w:sz w:val="20"/>
          <w:szCs w:val="20"/>
        </w:rPr>
      </w:pPr>
      <w:r w:rsidRPr="00312B29">
        <w:rPr>
          <w:rFonts w:cs="Times New Roman"/>
          <w:color w:val="auto"/>
          <w:sz w:val="20"/>
          <w:szCs w:val="20"/>
        </w:rPr>
        <w:t xml:space="preserve">Zamawiający </w:t>
      </w:r>
      <w:r w:rsidRPr="00312B29">
        <w:rPr>
          <w:rFonts w:cs="Times New Roman"/>
          <w:b/>
          <w:color w:val="auto"/>
          <w:sz w:val="20"/>
          <w:szCs w:val="20"/>
        </w:rPr>
        <w:t>dopuszcza</w:t>
      </w:r>
      <w:r w:rsidRPr="00312B29">
        <w:rPr>
          <w:rFonts w:cs="Times New Roman"/>
          <w:color w:val="auto"/>
          <w:sz w:val="20"/>
          <w:szCs w:val="20"/>
        </w:rPr>
        <w:t xml:space="preserve"> </w:t>
      </w:r>
      <w:r w:rsidRPr="00312B29">
        <w:rPr>
          <w:rFonts w:cs="Times New Roman"/>
          <w:b/>
          <w:color w:val="auto"/>
          <w:sz w:val="20"/>
          <w:szCs w:val="20"/>
        </w:rPr>
        <w:t xml:space="preserve">składanie ofert częściowych z podziałem na </w:t>
      </w:r>
      <w:r w:rsidR="00036197">
        <w:rPr>
          <w:rFonts w:cs="Times New Roman"/>
          <w:b/>
          <w:color w:val="auto"/>
          <w:sz w:val="20"/>
          <w:szCs w:val="20"/>
        </w:rPr>
        <w:t>jedenaście części (pakietów</w:t>
      </w:r>
      <w:r w:rsidR="00FD6AE6" w:rsidRPr="00312B29">
        <w:rPr>
          <w:rFonts w:cs="Times New Roman"/>
          <w:b/>
          <w:color w:val="auto"/>
          <w:sz w:val="20"/>
          <w:szCs w:val="20"/>
        </w:rPr>
        <w:t>)</w:t>
      </w:r>
      <w:r w:rsidRPr="00312B29">
        <w:rPr>
          <w:rFonts w:cs="Times New Roman"/>
          <w:b/>
          <w:color w:val="auto"/>
          <w:sz w:val="20"/>
          <w:szCs w:val="20"/>
        </w:rPr>
        <w:t>:</w:t>
      </w:r>
    </w:p>
    <w:p w:rsidR="00036197" w:rsidRPr="00036197" w:rsidRDefault="00036197" w:rsidP="00036197">
      <w:pPr>
        <w:spacing w:after="0"/>
        <w:jc w:val="both"/>
        <w:rPr>
          <w:rFonts w:cstheme="minorHAnsi"/>
          <w:b/>
          <w:bCs/>
          <w:i/>
          <w:color w:val="auto"/>
          <w:sz w:val="20"/>
          <w:szCs w:val="20"/>
        </w:rPr>
      </w:pPr>
      <w:bookmarkStart w:id="1" w:name="_Hlk142394233"/>
      <w:r w:rsidRPr="00036197">
        <w:rPr>
          <w:rFonts w:cstheme="minorHAnsi"/>
          <w:b/>
          <w:bCs/>
          <w:i/>
          <w:color w:val="auto"/>
          <w:sz w:val="20"/>
          <w:szCs w:val="20"/>
        </w:rPr>
        <w:t xml:space="preserve">Pakiet nr 1 – Materiały do wypełnień </w:t>
      </w:r>
    </w:p>
    <w:p w:rsidR="00036197" w:rsidRPr="00036197" w:rsidRDefault="00036197" w:rsidP="00036197">
      <w:pPr>
        <w:spacing w:after="0"/>
        <w:rPr>
          <w:rFonts w:cstheme="minorHAnsi"/>
          <w:bCs/>
          <w:i/>
          <w:color w:val="auto"/>
          <w:sz w:val="20"/>
          <w:szCs w:val="20"/>
        </w:rPr>
      </w:pPr>
      <w:r w:rsidRPr="00036197">
        <w:rPr>
          <w:rFonts w:cstheme="minorHAnsi"/>
          <w:b/>
          <w:bCs/>
          <w:i/>
          <w:color w:val="auto"/>
          <w:sz w:val="20"/>
          <w:szCs w:val="20"/>
        </w:rPr>
        <w:t xml:space="preserve">Pakiet nr 2 – Materiały </w:t>
      </w:r>
      <w:proofErr w:type="spellStart"/>
      <w:r w:rsidRPr="00036197">
        <w:rPr>
          <w:rFonts w:cstheme="minorHAnsi"/>
          <w:b/>
          <w:bCs/>
          <w:i/>
          <w:color w:val="auto"/>
          <w:sz w:val="20"/>
          <w:szCs w:val="20"/>
        </w:rPr>
        <w:t>endodontyczne</w:t>
      </w:r>
      <w:proofErr w:type="spellEnd"/>
      <w:r w:rsidRPr="00036197">
        <w:rPr>
          <w:rFonts w:cstheme="minorHAnsi"/>
          <w:b/>
          <w:bCs/>
          <w:i/>
          <w:color w:val="auto"/>
          <w:sz w:val="20"/>
          <w:szCs w:val="20"/>
        </w:rPr>
        <w:t xml:space="preserve">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nr 3 – Narzędzia </w:t>
      </w:r>
      <w:proofErr w:type="spellStart"/>
      <w:r w:rsidRPr="00036197">
        <w:rPr>
          <w:rFonts w:cstheme="minorHAnsi"/>
          <w:b/>
          <w:bCs/>
          <w:i/>
          <w:color w:val="auto"/>
          <w:sz w:val="20"/>
          <w:szCs w:val="20"/>
        </w:rPr>
        <w:t>endodontyczne</w:t>
      </w:r>
      <w:proofErr w:type="spellEnd"/>
      <w:r w:rsidRPr="00036197">
        <w:rPr>
          <w:rFonts w:cstheme="minorHAnsi"/>
          <w:b/>
          <w:bCs/>
          <w:i/>
          <w:color w:val="auto"/>
          <w:sz w:val="20"/>
          <w:szCs w:val="20"/>
        </w:rPr>
        <w:t xml:space="preserve">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nr 4 – Inne materiały stomatologiczne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nr 5 – Materiały higienizacyjne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Pakiet nr 6 – Masy stomatologiczne</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nr 7 – Oleje serwisowe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nr 8 – Znieczulenia i preparaty stomatologiczne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nr 9 – Palnik spirytusowy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 xml:space="preserve">Pakiet 10 – TIP AX </w:t>
      </w:r>
    </w:p>
    <w:p w:rsidR="00036197" w:rsidRPr="00036197" w:rsidRDefault="00036197" w:rsidP="00036197">
      <w:pPr>
        <w:spacing w:after="0"/>
        <w:rPr>
          <w:rFonts w:cstheme="minorHAnsi"/>
          <w:b/>
          <w:bCs/>
          <w:i/>
          <w:color w:val="auto"/>
          <w:sz w:val="20"/>
          <w:szCs w:val="20"/>
        </w:rPr>
      </w:pPr>
      <w:r w:rsidRPr="00036197">
        <w:rPr>
          <w:rFonts w:cstheme="minorHAnsi"/>
          <w:b/>
          <w:bCs/>
          <w:i/>
          <w:color w:val="auto"/>
          <w:sz w:val="20"/>
          <w:szCs w:val="20"/>
        </w:rPr>
        <w:t>Pakiet 11 – Plastry tkaninowe</w:t>
      </w:r>
    </w:p>
    <w:bookmarkEnd w:id="1"/>
    <w:p w:rsidR="00E8190E" w:rsidRPr="00E8190E" w:rsidRDefault="00E8190E" w:rsidP="00E8190E">
      <w:pPr>
        <w:pStyle w:val="Akapitzlist"/>
        <w:spacing w:after="0"/>
        <w:ind w:left="720"/>
        <w:jc w:val="both"/>
        <w:rPr>
          <w:rFonts w:cstheme="minorHAnsi"/>
          <w:color w:val="auto"/>
          <w:sz w:val="20"/>
          <w:szCs w:val="20"/>
        </w:rPr>
      </w:pPr>
    </w:p>
    <w:p w:rsidR="00312B29" w:rsidRPr="00312B29" w:rsidRDefault="00064ED0" w:rsidP="00312B29">
      <w:pPr>
        <w:pStyle w:val="Akapitzlist"/>
        <w:numPr>
          <w:ilvl w:val="0"/>
          <w:numId w:val="25"/>
        </w:numPr>
        <w:tabs>
          <w:tab w:val="clear" w:pos="720"/>
          <w:tab w:val="num" w:pos="284"/>
        </w:tabs>
        <w:spacing w:before="120"/>
        <w:ind w:hanging="720"/>
        <w:jc w:val="both"/>
        <w:rPr>
          <w:color w:val="auto"/>
          <w:sz w:val="20"/>
          <w:szCs w:val="20"/>
        </w:rPr>
      </w:pPr>
      <w:r w:rsidRPr="0003789A">
        <w:rPr>
          <w:color w:val="auto"/>
          <w:sz w:val="20"/>
          <w:szCs w:val="20"/>
        </w:rPr>
        <w:t>Wykonawca</w:t>
      </w:r>
      <w:r w:rsidRPr="0003789A">
        <w:rPr>
          <w:rFonts w:eastAsia="Calibri"/>
          <w:color w:val="auto"/>
          <w:sz w:val="20"/>
          <w:szCs w:val="20"/>
        </w:rPr>
        <w:t xml:space="preserve"> może złożyć ofertę na jedną lub więcej części, przy czym tylko jedną ofertę na daną część.</w:t>
      </w:r>
    </w:p>
    <w:p w:rsidR="00312B29" w:rsidRPr="00312B29" w:rsidRDefault="00064ED0" w:rsidP="00312B29">
      <w:pPr>
        <w:pStyle w:val="Akapitzlist"/>
        <w:numPr>
          <w:ilvl w:val="0"/>
          <w:numId w:val="25"/>
        </w:numPr>
        <w:tabs>
          <w:tab w:val="clear" w:pos="720"/>
          <w:tab w:val="num" w:pos="284"/>
        </w:tabs>
        <w:spacing w:before="120"/>
        <w:ind w:left="284" w:hanging="284"/>
        <w:jc w:val="both"/>
        <w:rPr>
          <w:color w:val="auto"/>
          <w:sz w:val="20"/>
          <w:szCs w:val="20"/>
        </w:rPr>
      </w:pPr>
      <w:r w:rsidRPr="00312B29">
        <w:rPr>
          <w:rFonts w:cs="Times New Roman"/>
          <w:color w:val="auto"/>
          <w:sz w:val="20"/>
          <w:szCs w:val="20"/>
        </w:rPr>
        <w:t>Oferty składane w zakresie poszczególnych części muszą obejmować całość zawartego w nich przedmiotu zamówienia. Oferty, które nie zwierają pełnego zakresu przedmiotu zamówienia w danej części zamówienia zostaną odrzucone.</w:t>
      </w:r>
    </w:p>
    <w:p w:rsidR="00996677" w:rsidRPr="00312B29" w:rsidRDefault="00E85C09" w:rsidP="00312B29">
      <w:pPr>
        <w:pStyle w:val="Akapitzlist"/>
        <w:numPr>
          <w:ilvl w:val="0"/>
          <w:numId w:val="25"/>
        </w:numPr>
        <w:tabs>
          <w:tab w:val="clear" w:pos="720"/>
          <w:tab w:val="num" w:pos="284"/>
        </w:tabs>
        <w:spacing w:before="120"/>
        <w:ind w:left="284" w:hanging="284"/>
        <w:jc w:val="both"/>
        <w:rPr>
          <w:color w:val="auto"/>
          <w:sz w:val="20"/>
          <w:szCs w:val="20"/>
        </w:rPr>
      </w:pPr>
      <w:r w:rsidRPr="00312B29">
        <w:rPr>
          <w:rFonts w:cstheme="minorHAnsi"/>
          <w:sz w:val="20"/>
          <w:szCs w:val="20"/>
        </w:rPr>
        <w:t xml:space="preserve">Oznaczenie wg Wspólnego Słownika Zamówień Publicznych: </w:t>
      </w:r>
    </w:p>
    <w:p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434"/>
        <w:gridCol w:w="1788"/>
        <w:gridCol w:w="3939"/>
      </w:tblGrid>
      <w:tr w:rsidR="009B289C" w:rsidTr="00FD6AE6">
        <w:tc>
          <w:tcPr>
            <w:tcW w:w="0" w:type="auto"/>
            <w:vAlign w:val="center"/>
          </w:tcPr>
          <w:p w:rsidR="009B289C" w:rsidRDefault="009B289C" w:rsidP="009B289C">
            <w:pPr>
              <w:spacing w:after="0" w:line="276" w:lineRule="auto"/>
              <w:jc w:val="center"/>
              <w:rPr>
                <w:rFonts w:cstheme="minorHAnsi"/>
                <w:sz w:val="20"/>
                <w:szCs w:val="20"/>
              </w:rPr>
            </w:pPr>
            <w:r>
              <w:rPr>
                <w:rFonts w:cstheme="minorHAnsi"/>
                <w:sz w:val="20"/>
                <w:szCs w:val="20"/>
              </w:rPr>
              <w:t>Numer pakietu</w:t>
            </w:r>
          </w:p>
        </w:tc>
        <w:tc>
          <w:tcPr>
            <w:tcW w:w="1788" w:type="dxa"/>
            <w:vAlign w:val="center"/>
          </w:tcPr>
          <w:p w:rsidR="009B289C" w:rsidRDefault="009B289C" w:rsidP="009B289C">
            <w:pPr>
              <w:spacing w:after="0" w:line="276" w:lineRule="auto"/>
              <w:jc w:val="center"/>
              <w:rPr>
                <w:rFonts w:cstheme="minorHAnsi"/>
                <w:sz w:val="20"/>
                <w:szCs w:val="20"/>
              </w:rPr>
            </w:pPr>
            <w:r>
              <w:rPr>
                <w:rFonts w:cstheme="minorHAnsi"/>
                <w:sz w:val="20"/>
                <w:szCs w:val="20"/>
              </w:rPr>
              <w:t>Kod CPV</w:t>
            </w:r>
          </w:p>
        </w:tc>
        <w:tc>
          <w:tcPr>
            <w:tcW w:w="3939" w:type="dxa"/>
            <w:vAlign w:val="center"/>
          </w:tcPr>
          <w:p w:rsidR="009B289C" w:rsidRDefault="009B289C" w:rsidP="009B289C">
            <w:pPr>
              <w:spacing w:after="0" w:line="276" w:lineRule="auto"/>
              <w:jc w:val="center"/>
              <w:rPr>
                <w:rFonts w:cstheme="minorHAnsi"/>
                <w:sz w:val="20"/>
                <w:szCs w:val="20"/>
              </w:rPr>
            </w:pPr>
            <w:r>
              <w:rPr>
                <w:rFonts w:cstheme="minorHAnsi"/>
                <w:sz w:val="20"/>
                <w:szCs w:val="20"/>
              </w:rPr>
              <w:t>Nazwa</w:t>
            </w:r>
          </w:p>
        </w:tc>
      </w:tr>
      <w:tr w:rsidR="00581F20" w:rsidTr="00FD6AE6">
        <w:trPr>
          <w:trHeight w:val="348"/>
        </w:trPr>
        <w:tc>
          <w:tcPr>
            <w:tcW w:w="1434" w:type="dxa"/>
            <w:hideMark/>
          </w:tcPr>
          <w:p w:rsidR="00581F20" w:rsidRDefault="00FD6AE6">
            <w:pPr>
              <w:spacing w:after="0" w:line="276" w:lineRule="auto"/>
              <w:ind w:left="-5" w:right="-15" w:hanging="10"/>
              <w:jc w:val="center"/>
              <w:rPr>
                <w:rFonts w:eastAsia="Arial" w:cstheme="minorHAnsi"/>
                <w:color w:val="000000"/>
                <w:sz w:val="20"/>
                <w:szCs w:val="20"/>
                <w:lang w:eastAsia="zh-CN"/>
              </w:rPr>
            </w:pPr>
            <w:r>
              <w:rPr>
                <w:rFonts w:cstheme="minorHAnsi"/>
                <w:sz w:val="20"/>
                <w:szCs w:val="20"/>
                <w:lang w:eastAsia="zh-CN"/>
              </w:rPr>
              <w:t>1</w:t>
            </w:r>
            <w:r w:rsidR="00036197">
              <w:rPr>
                <w:rFonts w:cstheme="minorHAnsi"/>
                <w:sz w:val="20"/>
                <w:szCs w:val="20"/>
                <w:lang w:eastAsia="zh-CN"/>
              </w:rPr>
              <w:t>-10</w:t>
            </w:r>
          </w:p>
        </w:tc>
        <w:tc>
          <w:tcPr>
            <w:tcW w:w="1788" w:type="dxa"/>
            <w:hideMark/>
          </w:tcPr>
          <w:p w:rsidR="00581F20" w:rsidRDefault="00036197" w:rsidP="000F1993">
            <w:pPr>
              <w:spacing w:after="0" w:line="276" w:lineRule="auto"/>
              <w:ind w:left="-5" w:right="-15" w:hanging="10"/>
              <w:jc w:val="center"/>
              <w:rPr>
                <w:rFonts w:eastAsia="Arial" w:cstheme="minorHAnsi"/>
                <w:color w:val="000000"/>
                <w:sz w:val="20"/>
                <w:szCs w:val="20"/>
                <w:lang w:eastAsia="zh-CN"/>
              </w:rPr>
            </w:pPr>
            <w:r>
              <w:rPr>
                <w:rFonts w:eastAsia="Arial" w:cstheme="minorHAnsi"/>
                <w:color w:val="000000"/>
                <w:sz w:val="20"/>
                <w:szCs w:val="20"/>
                <w:lang w:eastAsia="zh-CN"/>
              </w:rPr>
              <w:t>33141800-8</w:t>
            </w:r>
          </w:p>
        </w:tc>
        <w:tc>
          <w:tcPr>
            <w:tcW w:w="3939" w:type="dxa"/>
            <w:hideMark/>
          </w:tcPr>
          <w:p w:rsidR="00581F20" w:rsidRDefault="00036197">
            <w:pPr>
              <w:spacing w:after="0" w:line="276" w:lineRule="auto"/>
              <w:ind w:left="-5" w:right="-15" w:hanging="10"/>
              <w:jc w:val="center"/>
              <w:rPr>
                <w:rFonts w:eastAsia="Arial" w:cstheme="minorHAnsi"/>
                <w:color w:val="000000"/>
                <w:sz w:val="20"/>
                <w:szCs w:val="20"/>
                <w:lang w:eastAsia="zh-CN"/>
              </w:rPr>
            </w:pPr>
            <w:r>
              <w:rPr>
                <w:rFonts w:eastAsia="Arial" w:cstheme="minorHAnsi"/>
                <w:color w:val="000000"/>
                <w:sz w:val="20"/>
                <w:szCs w:val="20"/>
                <w:lang w:eastAsia="zh-CN"/>
              </w:rPr>
              <w:t>Wyroby stomatologiczne</w:t>
            </w:r>
          </w:p>
        </w:tc>
      </w:tr>
      <w:tr w:rsidR="00F30794" w:rsidTr="00FD6AE6">
        <w:trPr>
          <w:trHeight w:val="348"/>
        </w:trPr>
        <w:tc>
          <w:tcPr>
            <w:tcW w:w="1434" w:type="dxa"/>
          </w:tcPr>
          <w:p w:rsidR="00F30794" w:rsidRDefault="00036197">
            <w:pPr>
              <w:spacing w:after="0" w:line="276" w:lineRule="auto"/>
              <w:ind w:left="-5" w:right="-15" w:hanging="10"/>
              <w:jc w:val="center"/>
              <w:rPr>
                <w:rFonts w:cstheme="minorHAnsi"/>
                <w:sz w:val="20"/>
                <w:szCs w:val="20"/>
                <w:lang w:eastAsia="zh-CN"/>
              </w:rPr>
            </w:pPr>
            <w:r>
              <w:rPr>
                <w:rFonts w:cstheme="minorHAnsi"/>
                <w:sz w:val="20"/>
                <w:szCs w:val="20"/>
                <w:lang w:eastAsia="zh-CN"/>
              </w:rPr>
              <w:t>11</w:t>
            </w:r>
          </w:p>
        </w:tc>
        <w:tc>
          <w:tcPr>
            <w:tcW w:w="1788" w:type="dxa"/>
          </w:tcPr>
          <w:p w:rsidR="00F30794" w:rsidRDefault="00036197" w:rsidP="000F1993">
            <w:pPr>
              <w:spacing w:after="0" w:line="276" w:lineRule="auto"/>
              <w:ind w:left="-5" w:right="-15" w:hanging="10"/>
              <w:jc w:val="center"/>
              <w:rPr>
                <w:rFonts w:cstheme="minorHAnsi"/>
                <w:sz w:val="20"/>
                <w:szCs w:val="20"/>
                <w:lang w:eastAsia="zh-CN"/>
              </w:rPr>
            </w:pPr>
            <w:r>
              <w:rPr>
                <w:rFonts w:cstheme="minorHAnsi"/>
                <w:sz w:val="20"/>
                <w:szCs w:val="20"/>
                <w:lang w:eastAsia="zh-CN"/>
              </w:rPr>
              <w:t>33141112-8</w:t>
            </w:r>
          </w:p>
        </w:tc>
        <w:tc>
          <w:tcPr>
            <w:tcW w:w="3939" w:type="dxa"/>
          </w:tcPr>
          <w:p w:rsidR="00F30794" w:rsidRDefault="00036197">
            <w:pPr>
              <w:spacing w:after="0" w:line="276" w:lineRule="auto"/>
              <w:ind w:left="-5" w:right="-15" w:hanging="10"/>
              <w:jc w:val="center"/>
              <w:rPr>
                <w:rFonts w:cstheme="minorHAnsi"/>
                <w:sz w:val="20"/>
                <w:szCs w:val="20"/>
                <w:lang w:eastAsia="zh-CN"/>
              </w:rPr>
            </w:pPr>
            <w:r>
              <w:rPr>
                <w:rFonts w:cstheme="minorHAnsi"/>
                <w:sz w:val="20"/>
                <w:szCs w:val="20"/>
                <w:lang w:eastAsia="zh-CN"/>
              </w:rPr>
              <w:t>Plastry</w:t>
            </w:r>
          </w:p>
        </w:tc>
      </w:tr>
    </w:tbl>
    <w:p w:rsidR="00996677" w:rsidRPr="00246969" w:rsidRDefault="00E85C09" w:rsidP="00312B29">
      <w:pPr>
        <w:numPr>
          <w:ilvl w:val="0"/>
          <w:numId w:val="25"/>
        </w:numPr>
        <w:tabs>
          <w:tab w:val="clear" w:pos="720"/>
          <w:tab w:val="num" w:pos="284"/>
        </w:tabs>
        <w:spacing w:before="120" w:after="120" w:line="276" w:lineRule="auto"/>
        <w:ind w:left="284" w:hanging="284"/>
        <w:jc w:val="both"/>
        <w:rPr>
          <w:rFonts w:cstheme="minorHAnsi"/>
          <w:sz w:val="20"/>
          <w:szCs w:val="20"/>
        </w:rPr>
      </w:pPr>
      <w:r w:rsidRPr="00246969">
        <w:rPr>
          <w:rFonts w:cstheme="minorHAnsi"/>
          <w:sz w:val="20"/>
          <w:szCs w:val="20"/>
        </w:rPr>
        <w:t xml:space="preserve">Szczegółowy Opis Przedmiotu Zamówienia zawarty jest w </w:t>
      </w:r>
      <w:r w:rsidRPr="00246969">
        <w:rPr>
          <w:rFonts w:cstheme="minorHAnsi"/>
          <w:b/>
          <w:bCs/>
          <w:color w:val="000000"/>
          <w:sz w:val="20"/>
          <w:szCs w:val="20"/>
        </w:rPr>
        <w:t>Załączniku Nr 2</w:t>
      </w:r>
      <w:r w:rsidR="00036197">
        <w:rPr>
          <w:rFonts w:cstheme="minorHAnsi"/>
          <w:b/>
          <w:bCs/>
          <w:color w:val="000000"/>
          <w:sz w:val="20"/>
          <w:szCs w:val="20"/>
        </w:rPr>
        <w:t>.1, 2.2, 2.3, 2.4, 2.5, 2.6, 2.7, 2.8, 2.9, 2.10, 2.11</w:t>
      </w:r>
      <w:r w:rsidRPr="00246969">
        <w:rPr>
          <w:rFonts w:cstheme="minorHAnsi"/>
          <w:b/>
          <w:bCs/>
          <w:color w:val="000000"/>
          <w:sz w:val="20"/>
          <w:szCs w:val="20"/>
        </w:rPr>
        <w:t xml:space="preserve"> do SWZ</w:t>
      </w:r>
      <w:r w:rsidR="005D7D13">
        <w:rPr>
          <w:rFonts w:cstheme="minorHAnsi"/>
          <w:b/>
          <w:bCs/>
          <w:color w:val="000000"/>
          <w:sz w:val="20"/>
          <w:szCs w:val="20"/>
        </w:rPr>
        <w:t xml:space="preserve"> (w </w:t>
      </w:r>
      <w:r w:rsidR="007D33C3">
        <w:rPr>
          <w:rFonts w:cstheme="minorHAnsi"/>
          <w:b/>
          <w:bCs/>
          <w:color w:val="000000"/>
          <w:sz w:val="20"/>
          <w:szCs w:val="20"/>
        </w:rPr>
        <w:t>zależności od pakietu)</w:t>
      </w:r>
      <w:r w:rsidRPr="00246969">
        <w:rPr>
          <w:rFonts w:cstheme="minorHAnsi"/>
          <w:b/>
          <w:bCs/>
          <w:color w:val="000000"/>
          <w:sz w:val="20"/>
          <w:szCs w:val="20"/>
        </w:rPr>
        <w:t>.</w:t>
      </w:r>
    </w:p>
    <w:p w:rsidR="00996677" w:rsidRPr="00246969" w:rsidRDefault="00996677">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252E95" w:rsidRDefault="00FD6AE6"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Wykonawca zobowiązany będzie do realizacji zamówienia sukcesywnie w okresie </w:t>
      </w:r>
      <w:r w:rsidRPr="00FD6AE6">
        <w:rPr>
          <w:rFonts w:eastAsia="Times New Roman" w:cstheme="minorHAnsi"/>
          <w:b/>
          <w:sz w:val="20"/>
          <w:szCs w:val="20"/>
        </w:rPr>
        <w:t>12</w:t>
      </w:r>
      <w:r w:rsidR="00F30794" w:rsidRPr="00FD6AE6">
        <w:rPr>
          <w:rFonts w:eastAsia="Times New Roman" w:cstheme="minorHAnsi"/>
          <w:b/>
          <w:sz w:val="20"/>
          <w:szCs w:val="20"/>
        </w:rPr>
        <w:t xml:space="preserve"> </w:t>
      </w:r>
      <w:r w:rsidRPr="00FD6AE6">
        <w:rPr>
          <w:rFonts w:eastAsia="Times New Roman" w:cstheme="minorHAnsi"/>
          <w:b/>
          <w:sz w:val="20"/>
          <w:szCs w:val="20"/>
        </w:rPr>
        <w:t>miesięcy</w:t>
      </w:r>
      <w:r>
        <w:rPr>
          <w:rFonts w:eastAsia="Times New Roman" w:cstheme="minorHAnsi"/>
          <w:sz w:val="20"/>
          <w:szCs w:val="20"/>
        </w:rPr>
        <w:t xml:space="preserve"> </w:t>
      </w:r>
      <w:r w:rsidR="00F30794">
        <w:rPr>
          <w:rFonts w:eastAsia="Times New Roman" w:cstheme="minorHAnsi"/>
          <w:sz w:val="20"/>
          <w:szCs w:val="20"/>
        </w:rPr>
        <w:t>liczą</w:t>
      </w:r>
      <w:r w:rsidR="000443D7">
        <w:rPr>
          <w:rFonts w:eastAsia="Times New Roman" w:cstheme="minorHAnsi"/>
          <w:sz w:val="20"/>
          <w:szCs w:val="20"/>
        </w:rPr>
        <w:t>c od dnia podpisania umowy – dot. każdej Części.</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E85C09"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r w:rsidR="002021D2" w:rsidRPr="0005787D">
        <w:rPr>
          <w:rFonts w:cs="Times New Roman"/>
          <w:sz w:val="20"/>
          <w:szCs w:val="20"/>
        </w:rPr>
        <w:t>Zamawiający nie wyznacza szczegółowego warunku w tym zakresie.</w:t>
      </w:r>
    </w:p>
    <w:p w:rsidR="0005787D" w:rsidRPr="0005787D"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Zamawiający nie wyznacza szczegółowego warunku w tym zakresie. </w:t>
      </w:r>
    </w:p>
    <w:p w:rsidR="0005787D" w:rsidRPr="0005787D"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7C6A62" w:rsidRPr="00FD6AE6" w:rsidRDefault="00E85C09" w:rsidP="00FD6AE6">
      <w:pPr>
        <w:pStyle w:val="Akapitzlist"/>
        <w:numPr>
          <w:ilvl w:val="0"/>
          <w:numId w:val="4"/>
        </w:numPr>
        <w:jc w:val="both"/>
        <w:rPr>
          <w:rFonts w:cs="Times New Roman"/>
          <w:sz w:val="20"/>
          <w:szCs w:val="20"/>
        </w:rPr>
      </w:pPr>
      <w:r w:rsidRPr="00FD6AE6">
        <w:rPr>
          <w:rFonts w:cstheme="minorHAnsi"/>
          <w:sz w:val="20"/>
          <w:szCs w:val="20"/>
        </w:rPr>
        <w:t>zdolności technicznej lub zawodowej:</w:t>
      </w:r>
      <w:r w:rsidR="0005787D" w:rsidRPr="00FD6AE6">
        <w:rPr>
          <w:rFonts w:cs="Times New Roman"/>
          <w:sz w:val="20"/>
          <w:szCs w:val="20"/>
        </w:rPr>
        <w:t xml:space="preserve"> </w:t>
      </w:r>
      <w:r w:rsidR="00FD6AE6" w:rsidRPr="00FD6AE6">
        <w:rPr>
          <w:rFonts w:cs="Times New Roman"/>
          <w:sz w:val="20"/>
          <w:szCs w:val="20"/>
        </w:rPr>
        <w:t xml:space="preserve">Zamawiający nie wyznacza szczegółowego warunku w tym zakresie. </w:t>
      </w:r>
    </w:p>
    <w:p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2021D2" w:rsidRDefault="002021D2">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46969" w:rsidP="00246969">
      <w:pPr>
        <w:pStyle w:val="divparagraph"/>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1. będącego osobą fizyczną, którego prawomocnie skazano za przestępstwo: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 xml:space="preserve">o którym mowa w art. 228–230a, art. 250a Kodeksu karnego, w art. 46–48 ustawy z dnia 25 </w:t>
      </w:r>
      <w:r w:rsidRPr="00246969">
        <w:rPr>
          <w:rStyle w:val="d2edcug0"/>
          <w:rFonts w:asciiTheme="minorHAnsi" w:hAnsiTheme="minorHAnsi" w:cstheme="minorHAnsi"/>
          <w:sz w:val="20"/>
          <w:szCs w:val="20"/>
        </w:rPr>
        <w:lastRenderedPageBreak/>
        <w:t>czerwca 2010 r. o sporcie (Dz. U. z 2020 r. poz. 1133 oraz z 2021 r. poz. 2054) lub w art. 54 ust. 1–4 ustawy z dnia 12 maja 2011 r. o refundacji leków, środków spożywczych specjalnego przeznaczenia żywieniowego oraz wyrobów medycznych (Dz. U. z 202</w:t>
      </w:r>
      <w:r w:rsidR="00765AA1">
        <w:rPr>
          <w:rStyle w:val="d2edcug0"/>
          <w:rFonts w:asciiTheme="minorHAnsi" w:hAnsiTheme="minorHAnsi" w:cstheme="minorHAnsi"/>
          <w:sz w:val="20"/>
          <w:szCs w:val="20"/>
        </w:rPr>
        <w:t>3 r., poz. 826</w:t>
      </w:r>
      <w:r w:rsidRPr="00246969">
        <w:rPr>
          <w:rStyle w:val="d2edcug0"/>
          <w:rFonts w:asciiTheme="minorHAnsi" w:hAnsiTheme="minorHAnsi" w:cstheme="minorHAnsi"/>
          <w:sz w:val="20"/>
          <w:szCs w:val="20"/>
        </w:rPr>
        <w:t>)</w:t>
      </w:r>
      <w:r w:rsidRPr="00246969">
        <w:rPr>
          <w:rFonts w:asciiTheme="minorHAnsi" w:hAnsiTheme="minorHAnsi" w:cstheme="minorHAnsi"/>
          <w:sz w:val="20"/>
          <w:szCs w:val="20"/>
        </w:rPr>
        <w:t xml:space="preserv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412979">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prawomocnie orzeczono zakaz ubiegania się o zamówienia publiczne;</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46969" w:rsidRDefault="00246969" w:rsidP="000443D7">
      <w:pPr>
        <w:pStyle w:val="divpoint"/>
        <w:numPr>
          <w:ilvl w:val="3"/>
          <w:numId w:val="36"/>
        </w:numPr>
        <w:tabs>
          <w:tab w:val="left" w:pos="0"/>
        </w:tabs>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246969" w:rsidRDefault="00246969" w:rsidP="00412979">
      <w:pPr>
        <w:numPr>
          <w:ilvl w:val="0"/>
          <w:numId w:val="36"/>
        </w:numPr>
        <w:spacing w:before="120" w:after="120" w:line="276" w:lineRule="auto"/>
        <w:jc w:val="both"/>
        <w:rPr>
          <w:rFonts w:cstheme="minorHAnsi"/>
          <w:sz w:val="20"/>
          <w:szCs w:val="20"/>
        </w:rPr>
      </w:pPr>
      <w:r w:rsidRPr="00246969">
        <w:rPr>
          <w:rFonts w:cstheme="minorHAnsi"/>
          <w:sz w:val="20"/>
          <w:szCs w:val="20"/>
        </w:rPr>
        <w:t>Z postępowania o udzielenie zamówienia zamawiający może, na podstawie art. 109 ust. 1 pkt 4 ustawy, wykluczyć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412979">
      <w:pPr>
        <w:numPr>
          <w:ilvl w:val="0"/>
          <w:numId w:val="36"/>
        </w:numPr>
        <w:spacing w:before="120" w:after="120" w:line="276" w:lineRule="auto"/>
        <w:jc w:val="both"/>
        <w:rPr>
          <w:rFonts w:cstheme="minorHAnsi"/>
          <w:sz w:val="20"/>
          <w:szCs w:val="20"/>
        </w:rPr>
      </w:pPr>
      <w:r w:rsidRPr="00246969">
        <w:rPr>
          <w:rFonts w:cstheme="minorHAnsi"/>
          <w:sz w:val="20"/>
          <w:szCs w:val="20"/>
        </w:rPr>
        <w:lastRenderedPageBreak/>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246969" w:rsidRPr="00246969" w:rsidRDefault="00246969" w:rsidP="002021D2">
      <w:pPr>
        <w:numPr>
          <w:ilvl w:val="0"/>
          <w:numId w:val="36"/>
        </w:numPr>
        <w:spacing w:before="120" w:after="120" w:line="276" w:lineRule="auto"/>
        <w:jc w:val="both"/>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412979">
      <w:pPr>
        <w:pStyle w:val="divpoint"/>
        <w:numPr>
          <w:ilvl w:val="0"/>
          <w:numId w:val="37"/>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412979">
      <w:pPr>
        <w:pStyle w:val="divpkt"/>
        <w:numPr>
          <w:ilvl w:val="1"/>
          <w:numId w:val="36"/>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1) wymienionego w wykazach określonych w rozporządzeniu 765/2006 i rozporządzeniu 269/2014 albo wpisanego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 xml:space="preserve">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w:t>
      </w:r>
      <w:r w:rsidRPr="00246969">
        <w:rPr>
          <w:rFonts w:asciiTheme="minorHAnsi" w:hAnsiTheme="minorHAnsi" w:cstheme="minorHAnsi"/>
          <w:color w:val="auto"/>
          <w:sz w:val="20"/>
          <w:szCs w:val="20"/>
        </w:rPr>
        <w:lastRenderedPageBreak/>
        <w:t>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412979">
      <w:pPr>
        <w:pStyle w:val="divparagraph"/>
        <w:numPr>
          <w:ilvl w:val="0"/>
          <w:numId w:val="36"/>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246969" w:rsidRPr="00246969" w:rsidRDefault="00246969" w:rsidP="00412979">
      <w:pPr>
        <w:pStyle w:val="Akapitzlist"/>
        <w:numPr>
          <w:ilvl w:val="0"/>
          <w:numId w:val="36"/>
        </w:numPr>
        <w:spacing w:line="276" w:lineRule="auto"/>
        <w:jc w:val="both"/>
        <w:rPr>
          <w:rFonts w:cstheme="minorHAnsi"/>
          <w:sz w:val="20"/>
          <w:szCs w:val="20"/>
        </w:rPr>
      </w:pPr>
      <w:r w:rsidRPr="00246969">
        <w:rPr>
          <w:rFonts w:cstheme="minorHAnsi"/>
          <w:sz w:val="20"/>
          <w:szCs w:val="20"/>
        </w:rPr>
        <w:t>Sposób wykazania braku podstaw wykluczenia wskazano w Rozdziale 10 SWZ.</w:t>
      </w:r>
    </w:p>
    <w:p w:rsidR="000C59CE" w:rsidRDefault="000C59CE">
      <w:pPr>
        <w:spacing w:after="0" w:line="276" w:lineRule="auto"/>
        <w:jc w:val="both"/>
        <w:rPr>
          <w:rFonts w:cstheme="minorHAnsi"/>
          <w:b/>
          <w:sz w:val="20"/>
          <w:szCs w:val="20"/>
        </w:rPr>
      </w:pPr>
    </w:p>
    <w:p w:rsidR="002021D2" w:rsidRDefault="002021D2">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C59CE" w:rsidRDefault="000C59C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996677" w:rsidRPr="00246969" w:rsidRDefault="00E85C09" w:rsidP="00EB4EA6">
      <w:pPr>
        <w:pStyle w:val="Akapitzlist"/>
        <w:numPr>
          <w:ilvl w:val="0"/>
          <w:numId w:val="11"/>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996677" w:rsidRPr="00A21990" w:rsidRDefault="00A21990" w:rsidP="008C204A">
      <w:pPr>
        <w:pStyle w:val="Akapitzlist"/>
        <w:numPr>
          <w:ilvl w:val="0"/>
          <w:numId w:val="11"/>
        </w:numPr>
        <w:spacing w:before="120" w:after="120" w:line="240" w:lineRule="auto"/>
        <w:rPr>
          <w:rFonts w:cstheme="minorHAnsi"/>
          <w:sz w:val="20"/>
          <w:szCs w:val="20"/>
        </w:rPr>
      </w:pPr>
      <w:r>
        <w:rPr>
          <w:rFonts w:cstheme="minorHAnsi"/>
          <w:sz w:val="20"/>
          <w:szCs w:val="20"/>
        </w:rPr>
        <w:t xml:space="preserve">Uzupełniony i podpisany </w:t>
      </w:r>
      <w:r w:rsidR="00CA20C6" w:rsidRPr="00CA20C6">
        <w:rPr>
          <w:rFonts w:cstheme="minorHAnsi"/>
          <w:b/>
          <w:sz w:val="20"/>
          <w:szCs w:val="20"/>
        </w:rPr>
        <w:t>Opis przedmiotu zamówienia-</w:t>
      </w:r>
      <w:r w:rsidR="000065CF">
        <w:rPr>
          <w:rFonts w:cstheme="minorHAnsi"/>
          <w:b/>
          <w:sz w:val="20"/>
          <w:szCs w:val="20"/>
        </w:rPr>
        <w:t>Formularz Cenowy</w:t>
      </w:r>
      <w:r w:rsidR="00765AA1">
        <w:rPr>
          <w:rFonts w:cstheme="minorHAnsi"/>
          <w:sz w:val="20"/>
          <w:szCs w:val="20"/>
        </w:rPr>
        <w:t xml:space="preserve">, w zakresie części (pakietu) na którą </w:t>
      </w:r>
      <w:r>
        <w:rPr>
          <w:rFonts w:cstheme="minorHAnsi"/>
          <w:sz w:val="20"/>
          <w:szCs w:val="20"/>
        </w:rPr>
        <w:t xml:space="preserve">Wykonawca </w:t>
      </w:r>
      <w:r w:rsidR="00765AA1">
        <w:rPr>
          <w:rFonts w:cstheme="minorHAnsi"/>
          <w:sz w:val="20"/>
          <w:szCs w:val="20"/>
        </w:rPr>
        <w:t>składa ofertę</w:t>
      </w:r>
      <w:r w:rsidR="00E85C09" w:rsidRPr="00246969">
        <w:rPr>
          <w:rFonts w:cstheme="minorHAnsi"/>
          <w:sz w:val="20"/>
          <w:szCs w:val="20"/>
        </w:rPr>
        <w:t xml:space="preserve"> - zgodnie z </w:t>
      </w:r>
      <w:r w:rsidR="00E85C09" w:rsidRPr="00246969">
        <w:rPr>
          <w:rFonts w:cstheme="minorHAnsi"/>
          <w:b/>
          <w:bCs/>
          <w:sz w:val="20"/>
          <w:szCs w:val="20"/>
        </w:rPr>
        <w:t xml:space="preserve">Załącznikiem </w:t>
      </w:r>
      <w:r w:rsidR="008C204A" w:rsidRPr="008C204A">
        <w:rPr>
          <w:rFonts w:cstheme="minorHAnsi"/>
          <w:b/>
          <w:bCs/>
          <w:color w:val="auto"/>
          <w:sz w:val="20"/>
          <w:szCs w:val="20"/>
        </w:rPr>
        <w:t>Nr 2.1, 2.2, 2.3, 2.4, 2.5, 2.6, 2.7, 2.8, 2.9, 2.10, 2.11</w:t>
      </w:r>
      <w:r w:rsidR="000C59CE">
        <w:rPr>
          <w:rFonts w:cstheme="minorHAnsi"/>
          <w:b/>
          <w:bCs/>
          <w:color w:val="auto"/>
          <w:sz w:val="20"/>
          <w:szCs w:val="20"/>
        </w:rPr>
        <w:t xml:space="preserve"> </w:t>
      </w:r>
      <w:r w:rsidR="00E85C09" w:rsidRPr="00A21990">
        <w:rPr>
          <w:rFonts w:cstheme="minorHAnsi"/>
          <w:b/>
          <w:sz w:val="20"/>
          <w:szCs w:val="20"/>
        </w:rPr>
        <w:t>do SWZ.</w:t>
      </w:r>
    </w:p>
    <w:p w:rsidR="00A21990" w:rsidRDefault="000065CF" w:rsidP="00355D21">
      <w:pPr>
        <w:pStyle w:val="Akapitzlist"/>
        <w:spacing w:before="120" w:after="120" w:line="240" w:lineRule="auto"/>
        <w:ind w:left="357"/>
        <w:jc w:val="both"/>
        <w:rPr>
          <w:rFonts w:cstheme="minorHAnsi"/>
          <w:b/>
          <w:sz w:val="20"/>
          <w:szCs w:val="20"/>
        </w:rPr>
      </w:pPr>
      <w:r>
        <w:rPr>
          <w:rFonts w:cstheme="minorHAnsi"/>
          <w:b/>
          <w:sz w:val="20"/>
          <w:szCs w:val="20"/>
        </w:rPr>
        <w:t>W Formularzu Cenowym</w:t>
      </w:r>
      <w:r w:rsidR="00A21990">
        <w:rPr>
          <w:rFonts w:cstheme="minorHAnsi"/>
          <w:b/>
          <w:sz w:val="20"/>
          <w:szCs w:val="20"/>
        </w:rPr>
        <w:t xml:space="preserve"> Wykonawca </w:t>
      </w:r>
      <w:r w:rsidR="00A21990" w:rsidRPr="00DE77CF">
        <w:rPr>
          <w:rFonts w:cstheme="minorHAnsi"/>
          <w:b/>
          <w:sz w:val="20"/>
          <w:szCs w:val="20"/>
          <w:u w:val="single"/>
        </w:rPr>
        <w:t>zobowiązany j</w:t>
      </w:r>
      <w:r w:rsidR="008C204A" w:rsidRPr="00DE77CF">
        <w:rPr>
          <w:rFonts w:cstheme="minorHAnsi"/>
          <w:b/>
          <w:sz w:val="20"/>
          <w:szCs w:val="20"/>
          <w:u w:val="single"/>
        </w:rPr>
        <w:t xml:space="preserve">est wskazać nazwy i </w:t>
      </w:r>
      <w:r w:rsidR="000C59CE" w:rsidRPr="00DE77CF">
        <w:rPr>
          <w:rFonts w:cstheme="minorHAnsi"/>
          <w:b/>
          <w:sz w:val="20"/>
          <w:szCs w:val="20"/>
          <w:u w:val="single"/>
        </w:rPr>
        <w:t>producenta oferowanych produktów oraz podać ich ceny jednostkowe</w:t>
      </w:r>
      <w:r w:rsidR="000C59CE">
        <w:rPr>
          <w:rFonts w:cstheme="minorHAnsi"/>
          <w:b/>
          <w:sz w:val="20"/>
          <w:szCs w:val="20"/>
        </w:rPr>
        <w:t>.</w:t>
      </w:r>
    </w:p>
    <w:p w:rsidR="00A21990" w:rsidRDefault="00A21990" w:rsidP="00355D21">
      <w:pPr>
        <w:pStyle w:val="Akapitzlist"/>
        <w:spacing w:before="120" w:after="120" w:line="240" w:lineRule="auto"/>
        <w:ind w:left="357"/>
        <w:jc w:val="both"/>
        <w:rPr>
          <w:rFonts w:cstheme="minorHAnsi"/>
          <w:b/>
          <w:sz w:val="20"/>
          <w:szCs w:val="20"/>
        </w:rPr>
      </w:pPr>
      <w:r>
        <w:rPr>
          <w:rFonts w:cstheme="minorHAnsi"/>
          <w:b/>
          <w:sz w:val="20"/>
          <w:szCs w:val="20"/>
        </w:rPr>
        <w:t>Wy</w:t>
      </w:r>
      <w:r w:rsidR="000065CF">
        <w:rPr>
          <w:rFonts w:cstheme="minorHAnsi"/>
          <w:b/>
          <w:sz w:val="20"/>
          <w:szCs w:val="20"/>
        </w:rPr>
        <w:t>pełniony Formularz Cenowy</w:t>
      </w:r>
      <w:r>
        <w:rPr>
          <w:rFonts w:cstheme="minorHAnsi"/>
          <w:b/>
          <w:sz w:val="20"/>
          <w:szCs w:val="20"/>
        </w:rPr>
        <w:t xml:space="preserve"> należy złożyć wraz z ofertą w postaci elektronicznej, podpisanej kwalifikowanym podpisem elektronicznym, albo podpisem zaufanym, albo podpisem osobistym.</w:t>
      </w:r>
    </w:p>
    <w:p w:rsidR="00A21990" w:rsidRDefault="00A21990" w:rsidP="00355D21">
      <w:pPr>
        <w:pStyle w:val="Akapitzlist"/>
        <w:spacing w:before="120" w:after="120" w:line="240" w:lineRule="auto"/>
        <w:ind w:left="357"/>
        <w:jc w:val="both"/>
        <w:rPr>
          <w:rFonts w:cstheme="minorHAnsi"/>
          <w:b/>
          <w:sz w:val="20"/>
          <w:szCs w:val="20"/>
        </w:rPr>
      </w:pPr>
      <w:r>
        <w:rPr>
          <w:rFonts w:cstheme="minorHAnsi"/>
          <w:b/>
          <w:sz w:val="20"/>
          <w:szCs w:val="20"/>
        </w:rPr>
        <w:t>Brak załączen</w:t>
      </w:r>
      <w:r w:rsidR="000065CF">
        <w:rPr>
          <w:rFonts w:cstheme="minorHAnsi"/>
          <w:b/>
          <w:sz w:val="20"/>
          <w:szCs w:val="20"/>
        </w:rPr>
        <w:t>ia do oferty Formularza Cenowego</w:t>
      </w:r>
      <w:r>
        <w:rPr>
          <w:rFonts w:cstheme="minorHAnsi"/>
          <w:b/>
          <w:sz w:val="20"/>
          <w:szCs w:val="20"/>
        </w:rPr>
        <w:t xml:space="preserve"> skutkował będzie odrzuceniem oferty na podstawie art. 226 ust. 1 pkt 5 Ustawy jako niezgodnej z warunkami zamówienia.</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Oświadczenie</w:t>
      </w:r>
      <w:r w:rsidR="00355D21">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 xml:space="preserve">o </w:t>
      </w:r>
      <w:r w:rsidR="00AB286B" w:rsidRPr="00355D21">
        <w:rPr>
          <w:rFonts w:cstheme="minorHAnsi"/>
          <w:sz w:val="20"/>
          <w:szCs w:val="20"/>
        </w:rPr>
        <w:t>braku podstaw do wykluczenia z </w:t>
      </w:r>
      <w:r w:rsidRPr="00355D21">
        <w:rPr>
          <w:rFonts w:cstheme="minorHAnsi"/>
          <w:sz w:val="20"/>
          <w:szCs w:val="20"/>
        </w:rPr>
        <w:t>postępowania o udzielenie zamówienia publicznego</w:t>
      </w:r>
      <w:r w:rsidRPr="00246969">
        <w:rPr>
          <w:rFonts w:cstheme="minorHAnsi"/>
          <w:sz w:val="20"/>
          <w:szCs w:val="20"/>
        </w:rPr>
        <w:t xml:space="preserve"> – zgodnie z </w:t>
      </w:r>
      <w:r w:rsidRPr="00246969">
        <w:rPr>
          <w:rFonts w:cstheme="minorHAnsi"/>
          <w:b/>
          <w:bCs/>
          <w:sz w:val="20"/>
          <w:szCs w:val="20"/>
        </w:rPr>
        <w:t xml:space="preserve">Załącznikiem Nr </w:t>
      </w:r>
      <w:r w:rsidR="00665EDC">
        <w:rPr>
          <w:rFonts w:cstheme="minorHAnsi"/>
          <w:b/>
          <w:bCs/>
          <w:sz w:val="20"/>
          <w:szCs w:val="20"/>
        </w:rPr>
        <w:t>4</w:t>
      </w:r>
      <w:r w:rsidRPr="00246969">
        <w:rPr>
          <w:rFonts w:cstheme="minorHAnsi"/>
          <w:b/>
          <w:bCs/>
          <w:sz w:val="20"/>
          <w:szCs w:val="20"/>
        </w:rPr>
        <w:t xml:space="preserve"> do SWZ.</w:t>
      </w:r>
    </w:p>
    <w:p w:rsidR="00996677" w:rsidRPr="00246969" w:rsidRDefault="00E85C09" w:rsidP="00EB4EA6">
      <w:pPr>
        <w:pStyle w:val="Akapitzlist"/>
        <w:numPr>
          <w:ilvl w:val="0"/>
          <w:numId w:val="11"/>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065CF" w:rsidRPr="000C59CE" w:rsidRDefault="00E85C09" w:rsidP="000C59CE">
      <w:pPr>
        <w:pStyle w:val="Akapitzlist"/>
        <w:numPr>
          <w:ilvl w:val="0"/>
          <w:numId w:val="11"/>
        </w:numPr>
        <w:spacing w:line="276" w:lineRule="auto"/>
        <w:jc w:val="both"/>
        <w:rPr>
          <w:rFonts w:cstheme="minorHAnsi"/>
          <w:sz w:val="20"/>
          <w:szCs w:val="20"/>
        </w:rPr>
      </w:pPr>
      <w:r w:rsidRPr="00246969">
        <w:rPr>
          <w:rFonts w:cstheme="minorHAnsi"/>
          <w:sz w:val="20"/>
          <w:szCs w:val="20"/>
        </w:rPr>
        <w:lastRenderedPageBreak/>
        <w:t>Pełnomocnictwo do reprezentowania w postępowaniu Wykona</w:t>
      </w:r>
      <w:r w:rsidR="00AB286B">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B</w:t>
      </w:r>
      <w:r w:rsidR="00E85C09" w:rsidRPr="00246969">
        <w:rPr>
          <w:rFonts w:cstheme="minorHAnsi"/>
          <w:sz w:val="20"/>
          <w:szCs w:val="20"/>
          <w:u w:val="single"/>
        </w:rPr>
        <w:t>. WYKAZ PODMIOTO</w:t>
      </w:r>
      <w:r>
        <w:rPr>
          <w:rFonts w:cstheme="minorHAnsi"/>
          <w:sz w:val="20"/>
          <w:szCs w:val="20"/>
          <w:u w:val="single"/>
        </w:rPr>
        <w:t>WYCH ŚRODKÓW DOWODOWYCH SKŁADANYCH</w:t>
      </w:r>
      <w:r w:rsidR="00E85C09" w:rsidRPr="00246969">
        <w:rPr>
          <w:rFonts w:cstheme="minorHAnsi"/>
          <w:sz w:val="20"/>
          <w:szCs w:val="20"/>
          <w:u w:val="single"/>
        </w:rPr>
        <w:t xml:space="preserve"> NA WEZWANIE ZAMAWIAJĄCEGO</w:t>
      </w:r>
    </w:p>
    <w:p w:rsidR="000C59CE" w:rsidRPr="00450CB5" w:rsidRDefault="00450CB5" w:rsidP="00355D21">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rsidR="00355D21" w:rsidRPr="00355D21" w:rsidRDefault="00355D21" w:rsidP="00355D21">
      <w:pPr>
        <w:tabs>
          <w:tab w:val="left" w:pos="284"/>
        </w:tabs>
        <w:jc w:val="both"/>
        <w:rPr>
          <w:rFonts w:cstheme="minorHAnsi"/>
          <w:sz w:val="20"/>
          <w:szCs w:val="20"/>
          <w:u w:val="single"/>
        </w:rPr>
      </w:pPr>
      <w:r w:rsidRPr="00355D21">
        <w:rPr>
          <w:rFonts w:cstheme="minorHAnsi"/>
          <w:sz w:val="20"/>
          <w:szCs w:val="20"/>
          <w:u w:val="single"/>
        </w:rPr>
        <w:t xml:space="preserve">C. PRZEDMIOTOWE ŚRODKI DOWODOWE </w:t>
      </w:r>
    </w:p>
    <w:p w:rsidR="00355D21" w:rsidRPr="00355D21" w:rsidRDefault="00355D21" w:rsidP="00355D21">
      <w:pPr>
        <w:tabs>
          <w:tab w:val="left" w:pos="284"/>
        </w:tabs>
        <w:jc w:val="both"/>
        <w:rPr>
          <w:rFonts w:cstheme="minorHAnsi"/>
          <w:sz w:val="20"/>
          <w:szCs w:val="20"/>
        </w:rPr>
      </w:pPr>
      <w:r w:rsidRPr="00355D21">
        <w:rPr>
          <w:rFonts w:cstheme="minorHAnsi"/>
          <w:sz w:val="20"/>
          <w:szCs w:val="20"/>
        </w:rPr>
        <w:t>Zamawiający nie wymaga przedmiotowych środków dowodowych w postępowaniu.</w:t>
      </w:r>
    </w:p>
    <w:p w:rsidR="000065CF" w:rsidRDefault="000065CF">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2"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2"/>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450CB5" w:rsidRPr="00942FAC">
          <w:rPr>
            <w:rStyle w:val="Hipercze"/>
            <w:rFonts w:cstheme="minorHAnsi"/>
            <w:b/>
            <w:bCs/>
            <w:sz w:val="20"/>
            <w:szCs w:val="20"/>
          </w:rPr>
          <w:t>a.sadowska@spl.pl</w:t>
        </w:r>
      </w:hyperlink>
      <w:r w:rsidRPr="00246969">
        <w:rPr>
          <w:rFonts w:cstheme="minorHAnsi"/>
          <w:color w:val="auto"/>
          <w:sz w:val="20"/>
          <w:szCs w:val="20"/>
        </w:rPr>
        <w:t xml:space="preserve"> </w:t>
      </w:r>
    </w:p>
    <w:p w:rsidR="00E85C09" w:rsidRPr="00246969" w:rsidRDefault="00E85C09" w:rsidP="00412979">
      <w:pPr>
        <w:numPr>
          <w:ilvl w:val="0"/>
          <w:numId w:val="27"/>
        </w:numPr>
        <w:jc w:val="both"/>
        <w:rPr>
          <w:rFonts w:cstheme="minorHAnsi"/>
          <w:bCs/>
          <w:color w:val="auto"/>
          <w:sz w:val="20"/>
          <w:szCs w:val="20"/>
        </w:rPr>
      </w:pPr>
      <w:bookmarkStart w:id="3" w:name="_Hlk68530799"/>
      <w:bookmarkEnd w:id="3"/>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4" w:name="_Hlk68530660"/>
      <w:r w:rsidRPr="00246969">
        <w:rPr>
          <w:rFonts w:cstheme="minorHAnsi"/>
          <w:bCs/>
          <w:color w:val="auto"/>
          <w:sz w:val="20"/>
          <w:szCs w:val="20"/>
        </w:rPr>
        <w:t xml:space="preserve">(Dz. U. poz. 2452) </w:t>
      </w:r>
      <w:bookmarkEnd w:id="4"/>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5" w:name="_Hlk66907608"/>
      <w:bookmarkEnd w:id="5"/>
      <w:r w:rsidRPr="00246969">
        <w:rPr>
          <w:rFonts w:cstheme="minorHAnsi"/>
          <w:bCs/>
          <w:color w:val="auto"/>
          <w:sz w:val="20"/>
          <w:szCs w:val="20"/>
        </w:rPr>
        <w:t xml:space="preserve"> (Dz. U. poz. 2415).</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6"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6"/>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412979">
      <w:pPr>
        <w:numPr>
          <w:ilvl w:val="0"/>
          <w:numId w:val="27"/>
        </w:numPr>
        <w:jc w:val="both"/>
        <w:rPr>
          <w:rFonts w:cstheme="minorHAnsi"/>
          <w:bCs/>
          <w:color w:val="auto"/>
          <w:sz w:val="20"/>
          <w:szCs w:val="20"/>
        </w:rPr>
      </w:pPr>
      <w:bookmarkStart w:id="7" w:name="_Hlk685307999"/>
      <w:bookmarkEnd w:id="7"/>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 xml:space="preserve">nie później niż </w:t>
      </w:r>
      <w:r w:rsidRPr="00246969">
        <w:rPr>
          <w:rFonts w:cstheme="minorHAnsi"/>
          <w:b/>
          <w:bCs/>
          <w:color w:val="auto"/>
          <w:sz w:val="20"/>
          <w:szCs w:val="20"/>
        </w:rPr>
        <w:lastRenderedPageBreak/>
        <w:t>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8"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8"/>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lastRenderedPageBreak/>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Pr="00246969" w:rsidRDefault="00E85C09" w:rsidP="00412979">
      <w:pPr>
        <w:numPr>
          <w:ilvl w:val="0"/>
          <w:numId w:val="28"/>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450CB5" w:rsidRDefault="00450CB5" w:rsidP="000065CF">
      <w:pPr>
        <w:spacing w:after="0" w:line="276" w:lineRule="auto"/>
        <w:jc w:val="both"/>
        <w:rPr>
          <w:rFonts w:cstheme="minorHAnsi"/>
          <w:b/>
          <w:sz w:val="20"/>
          <w:szCs w:val="20"/>
        </w:rPr>
      </w:pP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Rozdział 12.</w:t>
      </w:r>
    </w:p>
    <w:p w:rsidR="002021D2" w:rsidRPr="002021D2" w:rsidRDefault="00E85C09" w:rsidP="000065CF">
      <w:pPr>
        <w:spacing w:after="0" w:line="276" w:lineRule="auto"/>
        <w:jc w:val="both"/>
        <w:rPr>
          <w:rFonts w:cstheme="minorHAnsi"/>
          <w:b/>
          <w:sz w:val="20"/>
          <w:szCs w:val="20"/>
        </w:rPr>
      </w:pPr>
      <w:r w:rsidRPr="00246969">
        <w:rPr>
          <w:rFonts w:cstheme="minorHAnsi"/>
          <w:b/>
          <w:sz w:val="20"/>
          <w:szCs w:val="20"/>
        </w:rPr>
        <w:t>Opis sposobu przygotowania oferty.</w:t>
      </w:r>
    </w:p>
    <w:p w:rsidR="00E85C09" w:rsidRPr="00246969" w:rsidRDefault="00E85C09" w:rsidP="00412979">
      <w:pPr>
        <w:numPr>
          <w:ilvl w:val="0"/>
          <w:numId w:val="30"/>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412979">
      <w:pPr>
        <w:pStyle w:val="Akapitzlist"/>
        <w:numPr>
          <w:ilvl w:val="0"/>
          <w:numId w:val="32"/>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412979">
      <w:pPr>
        <w:pStyle w:val="Akapitzlist"/>
        <w:numPr>
          <w:ilvl w:val="0"/>
          <w:numId w:val="32"/>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412979">
      <w:pPr>
        <w:numPr>
          <w:ilvl w:val="0"/>
          <w:numId w:val="31"/>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450CB5" w:rsidRDefault="00450CB5">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412979">
      <w:pPr>
        <w:pStyle w:val="Akapitzlist"/>
        <w:numPr>
          <w:ilvl w:val="0"/>
          <w:numId w:val="33"/>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B60A12" w:rsidRDefault="007B6232" w:rsidP="00412979">
      <w:pPr>
        <w:pStyle w:val="Akapitzlist"/>
        <w:numPr>
          <w:ilvl w:val="0"/>
          <w:numId w:val="33"/>
        </w:numPr>
        <w:spacing w:line="276" w:lineRule="auto"/>
        <w:jc w:val="both"/>
        <w:rPr>
          <w:rFonts w:cstheme="minorHAnsi"/>
          <w:sz w:val="20"/>
          <w:szCs w:val="20"/>
        </w:rPr>
      </w:pPr>
      <w:r w:rsidRPr="00B60A12">
        <w:rPr>
          <w:rFonts w:cstheme="minorHAnsi"/>
          <w:b/>
          <w:sz w:val="20"/>
          <w:szCs w:val="20"/>
        </w:rPr>
        <w:t xml:space="preserve">Ofertę należy złożyć w terminie do dnia </w:t>
      </w:r>
      <w:r w:rsidR="0021589F" w:rsidRPr="00B60A12">
        <w:rPr>
          <w:rFonts w:cstheme="minorHAnsi"/>
          <w:b/>
          <w:sz w:val="20"/>
          <w:szCs w:val="20"/>
        </w:rPr>
        <w:t>24</w:t>
      </w:r>
      <w:r w:rsidR="00DE77CF" w:rsidRPr="00B60A12">
        <w:rPr>
          <w:rFonts w:cstheme="minorHAnsi"/>
          <w:b/>
          <w:sz w:val="20"/>
          <w:szCs w:val="20"/>
        </w:rPr>
        <w:t>.09</w:t>
      </w:r>
      <w:r w:rsidRPr="00B60A12">
        <w:rPr>
          <w:rFonts w:cstheme="minorHAnsi"/>
          <w:b/>
          <w:sz w:val="20"/>
          <w:szCs w:val="20"/>
        </w:rPr>
        <w:t>.202</w:t>
      </w:r>
      <w:r w:rsidR="00F45AEF" w:rsidRPr="00B60A12">
        <w:rPr>
          <w:rFonts w:cstheme="minorHAnsi"/>
          <w:b/>
          <w:sz w:val="20"/>
          <w:szCs w:val="20"/>
        </w:rPr>
        <w:t>4</w:t>
      </w:r>
      <w:r w:rsidRPr="00B60A12">
        <w:rPr>
          <w:rFonts w:cstheme="minorHAnsi"/>
          <w:b/>
          <w:sz w:val="20"/>
          <w:szCs w:val="20"/>
        </w:rPr>
        <w:t xml:space="preserve"> r. do godz. 09:00</w:t>
      </w:r>
      <w:r w:rsidR="000C2DAE" w:rsidRPr="00B60A12">
        <w:rPr>
          <w:rFonts w:cstheme="minorHAnsi"/>
          <w:b/>
          <w:sz w:val="20"/>
          <w:szCs w:val="20"/>
        </w:rPr>
        <w:t>.</w:t>
      </w:r>
    </w:p>
    <w:p w:rsidR="007B6232" w:rsidRPr="00B60A12" w:rsidRDefault="007B6232" w:rsidP="00412979">
      <w:pPr>
        <w:pStyle w:val="Akapitzlist"/>
        <w:numPr>
          <w:ilvl w:val="0"/>
          <w:numId w:val="33"/>
        </w:numPr>
        <w:spacing w:line="276" w:lineRule="auto"/>
        <w:jc w:val="both"/>
        <w:rPr>
          <w:rFonts w:cstheme="minorHAnsi"/>
          <w:sz w:val="20"/>
          <w:szCs w:val="20"/>
        </w:rPr>
      </w:pPr>
      <w:r w:rsidRPr="00B60A12">
        <w:rPr>
          <w:rFonts w:cstheme="minorHAnsi"/>
          <w:b/>
          <w:sz w:val="20"/>
          <w:szCs w:val="20"/>
        </w:rPr>
        <w:t xml:space="preserve">Otwarcie ofert nastąpi w dniu </w:t>
      </w:r>
      <w:r w:rsidR="0021589F" w:rsidRPr="00B60A12">
        <w:rPr>
          <w:rFonts w:cstheme="minorHAnsi"/>
          <w:b/>
          <w:sz w:val="20"/>
          <w:szCs w:val="20"/>
        </w:rPr>
        <w:t>24</w:t>
      </w:r>
      <w:r w:rsidR="00023218" w:rsidRPr="00B60A12">
        <w:rPr>
          <w:rFonts w:cstheme="minorHAnsi"/>
          <w:b/>
          <w:sz w:val="20"/>
          <w:szCs w:val="20"/>
        </w:rPr>
        <w:t>.0</w:t>
      </w:r>
      <w:r w:rsidR="00DE77CF" w:rsidRPr="00B60A12">
        <w:rPr>
          <w:rFonts w:cstheme="minorHAnsi"/>
          <w:b/>
          <w:sz w:val="20"/>
          <w:szCs w:val="20"/>
        </w:rPr>
        <w:t>9</w:t>
      </w:r>
      <w:r w:rsidR="005C2283" w:rsidRPr="00B60A12">
        <w:rPr>
          <w:rFonts w:cstheme="minorHAnsi"/>
          <w:b/>
          <w:sz w:val="20"/>
          <w:szCs w:val="20"/>
        </w:rPr>
        <w:t>.</w:t>
      </w:r>
      <w:r w:rsidRPr="00B60A12">
        <w:rPr>
          <w:rFonts w:cstheme="minorHAnsi"/>
          <w:b/>
          <w:sz w:val="20"/>
          <w:szCs w:val="20"/>
        </w:rPr>
        <w:t>2</w:t>
      </w:r>
      <w:r w:rsidR="00AB286B" w:rsidRPr="00B60A12">
        <w:rPr>
          <w:rFonts w:cstheme="minorHAnsi"/>
          <w:b/>
          <w:sz w:val="20"/>
          <w:szCs w:val="20"/>
        </w:rPr>
        <w:t>02</w:t>
      </w:r>
      <w:r w:rsidR="00F45AEF" w:rsidRPr="00B60A12">
        <w:rPr>
          <w:rFonts w:cstheme="minorHAnsi"/>
          <w:b/>
          <w:sz w:val="20"/>
          <w:szCs w:val="20"/>
        </w:rPr>
        <w:t>4</w:t>
      </w:r>
      <w:r w:rsidRPr="00B60A12">
        <w:rPr>
          <w:rFonts w:cstheme="minorHAnsi"/>
          <w:b/>
          <w:sz w:val="20"/>
          <w:szCs w:val="20"/>
        </w:rPr>
        <w:t xml:space="preserve"> r. o godz. 09:05, za pośrednictwem platformy.</w:t>
      </w:r>
    </w:p>
    <w:p w:rsidR="007B6232" w:rsidRPr="00B60A12" w:rsidRDefault="007B6232" w:rsidP="00412979">
      <w:pPr>
        <w:pStyle w:val="Akapitzlist"/>
        <w:numPr>
          <w:ilvl w:val="0"/>
          <w:numId w:val="33"/>
        </w:numPr>
        <w:spacing w:line="276" w:lineRule="auto"/>
        <w:jc w:val="both"/>
        <w:rPr>
          <w:rFonts w:cstheme="minorHAnsi"/>
          <w:sz w:val="20"/>
          <w:szCs w:val="20"/>
        </w:rPr>
      </w:pPr>
      <w:r w:rsidRPr="00B60A12">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B60A12" w:rsidRDefault="007B6232" w:rsidP="00412979">
      <w:pPr>
        <w:pStyle w:val="Akapitzlist"/>
        <w:numPr>
          <w:ilvl w:val="0"/>
          <w:numId w:val="33"/>
        </w:numPr>
        <w:spacing w:line="276" w:lineRule="auto"/>
        <w:jc w:val="both"/>
        <w:rPr>
          <w:rFonts w:cstheme="minorHAnsi"/>
          <w:sz w:val="20"/>
          <w:szCs w:val="20"/>
        </w:rPr>
      </w:pPr>
      <w:r w:rsidRPr="00B60A12">
        <w:rPr>
          <w:rFonts w:cstheme="minorHAnsi"/>
          <w:sz w:val="20"/>
          <w:szCs w:val="20"/>
        </w:rPr>
        <w:t xml:space="preserve">Niezwłocznie po otwarciu ofert, Zamawiający udostępni na stronie internetowej prowadzonego postępowania informacje o: </w:t>
      </w:r>
    </w:p>
    <w:p w:rsidR="007B6232" w:rsidRPr="00B60A12" w:rsidRDefault="007B6232" w:rsidP="00412979">
      <w:pPr>
        <w:pStyle w:val="Akapitzlist"/>
        <w:numPr>
          <w:ilvl w:val="0"/>
          <w:numId w:val="34"/>
        </w:numPr>
        <w:spacing w:line="276" w:lineRule="auto"/>
        <w:ind w:left="709"/>
        <w:jc w:val="both"/>
        <w:rPr>
          <w:rFonts w:cstheme="minorHAnsi"/>
          <w:sz w:val="20"/>
          <w:szCs w:val="20"/>
        </w:rPr>
      </w:pPr>
      <w:r w:rsidRPr="00B60A12">
        <w:rPr>
          <w:rFonts w:cstheme="minorHAnsi"/>
          <w:sz w:val="20"/>
          <w:szCs w:val="20"/>
        </w:rPr>
        <w:t>nazwach albo imionach i nazwiskach oraz siedzibach lub miejscach prowadzonej działalności gospodarczej albo miejscach zamieszkania Wykonawców, których oferty zostały otwarte;</w:t>
      </w:r>
    </w:p>
    <w:p w:rsidR="007B6232" w:rsidRPr="00B60A12" w:rsidRDefault="007B6232" w:rsidP="00412979">
      <w:pPr>
        <w:pStyle w:val="Akapitzlist"/>
        <w:numPr>
          <w:ilvl w:val="0"/>
          <w:numId w:val="34"/>
        </w:numPr>
        <w:spacing w:line="276" w:lineRule="auto"/>
        <w:ind w:left="709"/>
        <w:jc w:val="both"/>
        <w:rPr>
          <w:rFonts w:cstheme="minorHAnsi"/>
          <w:sz w:val="20"/>
          <w:szCs w:val="20"/>
        </w:rPr>
      </w:pPr>
      <w:r w:rsidRPr="00B60A12">
        <w:rPr>
          <w:rFonts w:cstheme="minorHAnsi"/>
          <w:sz w:val="20"/>
          <w:szCs w:val="20"/>
        </w:rPr>
        <w:t>cenach zawartych w ofertach.</w:t>
      </w:r>
    </w:p>
    <w:p w:rsidR="007B6232" w:rsidRPr="00B60A12" w:rsidRDefault="007B6232" w:rsidP="00412979">
      <w:pPr>
        <w:pStyle w:val="Akapitzlist"/>
        <w:numPr>
          <w:ilvl w:val="0"/>
          <w:numId w:val="33"/>
        </w:numPr>
        <w:spacing w:line="276" w:lineRule="auto"/>
        <w:jc w:val="both"/>
        <w:rPr>
          <w:rFonts w:cstheme="minorHAnsi"/>
          <w:sz w:val="20"/>
          <w:szCs w:val="20"/>
        </w:rPr>
      </w:pPr>
      <w:r w:rsidRPr="00B60A12">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D97843" w:rsidRPr="00B60A12" w:rsidRDefault="00D97843">
      <w:pPr>
        <w:spacing w:after="0" w:line="276" w:lineRule="auto"/>
        <w:jc w:val="both"/>
        <w:rPr>
          <w:rFonts w:cstheme="minorHAnsi"/>
          <w:b/>
          <w:sz w:val="20"/>
          <w:szCs w:val="20"/>
        </w:rPr>
      </w:pPr>
    </w:p>
    <w:p w:rsidR="00996677" w:rsidRPr="00B60A12" w:rsidRDefault="00E85C09">
      <w:pPr>
        <w:spacing w:after="0" w:line="276" w:lineRule="auto"/>
        <w:jc w:val="both"/>
        <w:rPr>
          <w:rFonts w:cstheme="minorHAnsi"/>
          <w:sz w:val="20"/>
          <w:szCs w:val="20"/>
        </w:rPr>
      </w:pPr>
      <w:r w:rsidRPr="00B60A12">
        <w:rPr>
          <w:rFonts w:cstheme="minorHAnsi"/>
          <w:b/>
          <w:sz w:val="20"/>
          <w:szCs w:val="20"/>
        </w:rPr>
        <w:t xml:space="preserve">Rozdział 14. </w:t>
      </w:r>
    </w:p>
    <w:p w:rsidR="00996677" w:rsidRPr="00B60A12" w:rsidRDefault="00E85C09">
      <w:pPr>
        <w:spacing w:line="276" w:lineRule="auto"/>
        <w:jc w:val="both"/>
        <w:rPr>
          <w:rFonts w:cstheme="minorHAnsi"/>
          <w:sz w:val="20"/>
          <w:szCs w:val="20"/>
        </w:rPr>
      </w:pPr>
      <w:r w:rsidRPr="00B60A12">
        <w:rPr>
          <w:rFonts w:cstheme="minorHAnsi"/>
          <w:b/>
          <w:sz w:val="20"/>
          <w:szCs w:val="20"/>
        </w:rPr>
        <w:t>Termin związania ofertą.</w:t>
      </w:r>
    </w:p>
    <w:p w:rsidR="00996677" w:rsidRPr="00B60A12" w:rsidRDefault="00E85C09" w:rsidP="00EB4EA6">
      <w:pPr>
        <w:pStyle w:val="Akapitzlist"/>
        <w:numPr>
          <w:ilvl w:val="0"/>
          <w:numId w:val="12"/>
        </w:numPr>
        <w:spacing w:line="276" w:lineRule="auto"/>
        <w:jc w:val="both"/>
        <w:rPr>
          <w:rFonts w:cstheme="minorHAnsi"/>
          <w:sz w:val="20"/>
          <w:szCs w:val="20"/>
        </w:rPr>
      </w:pPr>
      <w:r w:rsidRPr="00B60A12">
        <w:rPr>
          <w:rFonts w:cstheme="minorHAnsi"/>
          <w:sz w:val="20"/>
          <w:szCs w:val="20"/>
        </w:rPr>
        <w:t xml:space="preserve">Wykonawca jest związany ofertą od dnia upływu terminu składania ofert do dnia </w:t>
      </w:r>
      <w:r w:rsidR="0021589F" w:rsidRPr="00B60A12">
        <w:rPr>
          <w:rFonts w:cstheme="minorHAnsi"/>
          <w:b/>
          <w:bCs/>
          <w:sz w:val="20"/>
          <w:szCs w:val="20"/>
        </w:rPr>
        <w:t>23</w:t>
      </w:r>
      <w:r w:rsidR="00DE77CF" w:rsidRPr="00B60A12">
        <w:rPr>
          <w:rFonts w:cstheme="minorHAnsi"/>
          <w:b/>
          <w:bCs/>
          <w:sz w:val="20"/>
          <w:szCs w:val="20"/>
        </w:rPr>
        <w:t>.10</w:t>
      </w:r>
      <w:r w:rsidR="00E033A0" w:rsidRPr="00B60A12">
        <w:rPr>
          <w:rFonts w:cstheme="minorHAnsi"/>
          <w:b/>
          <w:bCs/>
          <w:sz w:val="20"/>
          <w:szCs w:val="20"/>
        </w:rPr>
        <w:t>.</w:t>
      </w:r>
      <w:r w:rsidR="007B6232" w:rsidRPr="00B60A12">
        <w:rPr>
          <w:rFonts w:cstheme="minorHAnsi"/>
          <w:b/>
          <w:bCs/>
          <w:sz w:val="20"/>
          <w:szCs w:val="20"/>
        </w:rPr>
        <w:t>202</w:t>
      </w:r>
      <w:r w:rsidR="00AB286B" w:rsidRPr="00B60A12">
        <w:rPr>
          <w:rFonts w:cstheme="minorHAnsi"/>
          <w:b/>
          <w:bCs/>
          <w:sz w:val="20"/>
          <w:szCs w:val="20"/>
        </w:rPr>
        <w:t>4</w:t>
      </w:r>
      <w:r w:rsidRPr="00B60A12">
        <w:rPr>
          <w:rFonts w:cstheme="minorHAnsi"/>
          <w:b/>
          <w:bCs/>
          <w:sz w:val="20"/>
          <w:szCs w:val="20"/>
        </w:rPr>
        <w:t xml:space="preserve"> r.</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7"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8" w:history="1">
        <w:r w:rsidR="00B60A12" w:rsidRPr="0032502E">
          <w:rPr>
            <w:rStyle w:val="Hipercze"/>
            <w:rFonts w:cstheme="minorHAnsi"/>
            <w:sz w:val="20"/>
            <w:szCs w:val="20"/>
          </w:rPr>
          <w:t>a.sadowska@spl.pl</w:t>
        </w:r>
      </w:hyperlink>
      <w:r w:rsidRPr="00246969">
        <w:rPr>
          <w:rFonts w:cstheme="minorHAnsi"/>
          <w:sz w:val="20"/>
          <w:szCs w:val="20"/>
        </w:rPr>
        <w:t xml:space="preserve">. W tym wypadku nie jest wymagane, by oświadczenie było podpisane elektronicznym </w:t>
      </w:r>
      <w:r w:rsidRPr="00246969">
        <w:rPr>
          <w:rFonts w:cstheme="minorHAnsi"/>
          <w:sz w:val="20"/>
          <w:szCs w:val="20"/>
        </w:rPr>
        <w:lastRenderedPageBreak/>
        <w:t>podpisem kwalifikowanym, podpisem zaufanym lub osobistym i dla jego skuteczności wystarczy przesłanie skanu podpisanego przez Wykonawcę lub jego pełnomocnika dokumentu.</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stanowi </w:t>
      </w:r>
      <w:r w:rsidR="002021D2">
        <w:rPr>
          <w:rFonts w:cstheme="minorHAnsi"/>
          <w:sz w:val="20"/>
          <w:szCs w:val="20"/>
        </w:rPr>
        <w:t>łączna kwota brutto za wszystkie pozycje wchodzące w skład przedmiotu zamówienia.</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podana w ofercie powinna obejmować wszystkie koszty i składniki związane z wykonaniem zamówienia oraz warunkami stawianymi przez Zamawiającego w SWZ oraz wzorze umowy.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 ofercie, o której mowa w ust. 8 powyżej, Wykonawca ma obowiązek:</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r w:rsidR="00463A7C">
        <w:rPr>
          <w:rFonts w:cstheme="minorHAnsi"/>
          <w:b/>
          <w:sz w:val="20"/>
          <w:szCs w:val="20"/>
        </w:rPr>
        <w:t xml:space="preserve"> (dot. każdej Części)</w:t>
      </w:r>
      <w:r w:rsidRPr="00246969">
        <w:rPr>
          <w:rFonts w:cstheme="minorHAnsi"/>
          <w:b/>
          <w:sz w:val="20"/>
          <w:szCs w:val="20"/>
        </w:rPr>
        <w:t>.</w:t>
      </w:r>
    </w:p>
    <w:p w:rsidR="00996677" w:rsidRDefault="00996677">
      <w:pPr>
        <w:spacing w:after="0" w:line="276" w:lineRule="auto"/>
        <w:jc w:val="both"/>
        <w:rPr>
          <w:rFonts w:cstheme="minorHAnsi"/>
          <w:b/>
          <w:sz w:val="20"/>
          <w:szCs w:val="20"/>
        </w:rPr>
      </w:pPr>
    </w:p>
    <w:p w:rsidR="003133E0" w:rsidRPr="003133E0" w:rsidRDefault="003133E0" w:rsidP="003133E0">
      <w:pPr>
        <w:pStyle w:val="Akapitzlist"/>
        <w:numPr>
          <w:ilvl w:val="3"/>
          <w:numId w:val="15"/>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Pr="00246969" w:rsidRDefault="00E85C09">
      <w:pPr>
        <w:pStyle w:val="Akapitzlist"/>
        <w:spacing w:line="276" w:lineRule="auto"/>
        <w:ind w:left="720"/>
        <w:rPr>
          <w:rFonts w:cstheme="minorHAnsi"/>
          <w:sz w:val="20"/>
          <w:szCs w:val="20"/>
        </w:rPr>
      </w:pPr>
      <w:r w:rsidRPr="00246969">
        <w:rPr>
          <w:rFonts w:cstheme="minorHAnsi"/>
          <w:b/>
          <w:sz w:val="20"/>
          <w:szCs w:val="20"/>
        </w:rPr>
        <w:t xml:space="preserve">Cena </w:t>
      </w:r>
      <w:r w:rsidR="00D97843">
        <w:rPr>
          <w:rFonts w:cstheme="minorHAnsi"/>
          <w:b/>
          <w:sz w:val="20"/>
          <w:szCs w:val="20"/>
        </w:rPr>
        <w:t>7</w:t>
      </w:r>
      <w:r w:rsidR="00CA20C6">
        <w:rPr>
          <w:rFonts w:cstheme="minorHAnsi"/>
          <w:b/>
          <w:sz w:val="20"/>
          <w:szCs w:val="20"/>
        </w:rPr>
        <w:t>0 pkt</w:t>
      </w:r>
    </w:p>
    <w:p w:rsidR="00996677" w:rsidRPr="00246969" w:rsidRDefault="003B226F">
      <w:pPr>
        <w:pStyle w:val="Akapitzlist"/>
        <w:spacing w:line="276" w:lineRule="auto"/>
        <w:ind w:left="720"/>
        <w:rPr>
          <w:rFonts w:cstheme="minorHAnsi"/>
          <w:sz w:val="20"/>
          <w:szCs w:val="20"/>
        </w:rPr>
      </w:pPr>
      <w:r>
        <w:rPr>
          <w:rFonts w:cstheme="minorHAnsi"/>
          <w:b/>
          <w:sz w:val="20"/>
          <w:szCs w:val="20"/>
        </w:rPr>
        <w:t xml:space="preserve">Termin </w:t>
      </w:r>
      <w:r w:rsidR="00D97843">
        <w:rPr>
          <w:rFonts w:cstheme="minorHAnsi"/>
          <w:b/>
          <w:sz w:val="20"/>
          <w:szCs w:val="20"/>
        </w:rPr>
        <w:t>dostawy zamówienia cząstkowego</w:t>
      </w:r>
      <w:r w:rsidR="000C2DAE">
        <w:rPr>
          <w:rFonts w:cstheme="minorHAnsi"/>
          <w:b/>
          <w:sz w:val="20"/>
          <w:szCs w:val="20"/>
        </w:rPr>
        <w:t xml:space="preserve"> </w:t>
      </w:r>
      <w:r>
        <w:rPr>
          <w:rFonts w:cstheme="minorHAnsi"/>
          <w:b/>
          <w:sz w:val="20"/>
          <w:szCs w:val="20"/>
        </w:rPr>
        <w:t>2</w:t>
      </w:r>
      <w:r w:rsidR="00CA20C6">
        <w:rPr>
          <w:rFonts w:cstheme="minorHAnsi"/>
          <w:b/>
          <w:sz w:val="20"/>
          <w:szCs w:val="20"/>
        </w:rPr>
        <w:t>0 pkt</w:t>
      </w:r>
    </w:p>
    <w:p w:rsidR="00996677" w:rsidRPr="00246969" w:rsidRDefault="00D97843">
      <w:pPr>
        <w:pStyle w:val="Akapitzlist"/>
        <w:spacing w:after="0" w:line="276" w:lineRule="auto"/>
        <w:ind w:left="720"/>
        <w:contextualSpacing/>
        <w:rPr>
          <w:rFonts w:cstheme="minorHAnsi"/>
          <w:sz w:val="20"/>
          <w:szCs w:val="20"/>
        </w:rPr>
      </w:pPr>
      <w:r>
        <w:rPr>
          <w:rFonts w:cstheme="minorHAnsi"/>
          <w:b/>
          <w:sz w:val="20"/>
          <w:szCs w:val="20"/>
        </w:rPr>
        <w:t>Termin płatności 1</w:t>
      </w:r>
      <w:r w:rsidR="00CA20C6">
        <w:rPr>
          <w:rFonts w:cstheme="minorHAnsi"/>
          <w:b/>
          <w:sz w:val="20"/>
          <w:szCs w:val="20"/>
        </w:rPr>
        <w:t>0 pkt</w:t>
      </w:r>
    </w:p>
    <w:p w:rsidR="00F80AB4" w:rsidRPr="00246969" w:rsidRDefault="00F80AB4">
      <w:pPr>
        <w:spacing w:line="276" w:lineRule="auto"/>
        <w:rPr>
          <w:rFonts w:cstheme="minorHAnsi"/>
          <w:sz w:val="20"/>
          <w:szCs w:val="20"/>
        </w:rPr>
      </w:pPr>
    </w:p>
    <w:p w:rsidR="00996677" w:rsidRPr="003133E0" w:rsidRDefault="00E85C09" w:rsidP="003133E0">
      <w:pPr>
        <w:pStyle w:val="Akapitzlist"/>
        <w:numPr>
          <w:ilvl w:val="0"/>
          <w:numId w:val="41"/>
        </w:numPr>
        <w:spacing w:line="276"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sidR="00D97843">
        <w:rPr>
          <w:rFonts w:cstheme="minorHAnsi"/>
          <w:sz w:val="20"/>
          <w:szCs w:val="20"/>
        </w:rPr>
        <w:t>” – 7</w:t>
      </w:r>
      <w:r w:rsidR="00FC62E9" w:rsidRPr="003133E0">
        <w:rPr>
          <w:rFonts w:cstheme="minorHAnsi"/>
          <w:sz w:val="20"/>
          <w:szCs w:val="20"/>
        </w:rPr>
        <w:t>0%</w:t>
      </w:r>
      <w:r w:rsidRPr="003133E0">
        <w:rPr>
          <w:rFonts w:cstheme="minorHAnsi"/>
          <w:sz w:val="20"/>
          <w:szCs w:val="20"/>
        </w:rPr>
        <w:t xml:space="preserve"> </w:t>
      </w:r>
    </w:p>
    <w:p w:rsidR="00F80AB4" w:rsidRDefault="00F80AB4" w:rsidP="00D97843">
      <w:pPr>
        <w:spacing w:line="276" w:lineRule="auto"/>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rsidR="00996677" w:rsidRPr="007522D3" w:rsidRDefault="00F80AB4" w:rsidP="00D97843">
      <w:pPr>
        <w:spacing w:line="276" w:lineRule="auto"/>
        <w:jc w:val="both"/>
        <w:rPr>
          <w:rFonts w:cstheme="minorHAnsi"/>
          <w:sz w:val="20"/>
          <w:szCs w:val="20"/>
        </w:rPr>
      </w:pPr>
      <w:r w:rsidRPr="00F80AB4">
        <w:rPr>
          <w:rFonts w:cstheme="minorHAnsi"/>
          <w:sz w:val="20"/>
          <w:szCs w:val="20"/>
        </w:rPr>
        <w:t>Oferty będą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F430CC" w:rsidRPr="00F430CC" w:rsidTr="00F430CC">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rsidR="00F430CC" w:rsidRPr="00F430CC" w:rsidRDefault="00F430CC" w:rsidP="00F430CC">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F430CC" w:rsidRPr="00F430CC" w:rsidRDefault="00463A7C" w:rsidP="00F430CC">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w:t>
            </w:r>
            <w:r w:rsidR="000065CF">
              <w:rPr>
                <w:rFonts w:ascii="Calibri" w:eastAsia="Calibri" w:hAnsi="Calibri" w:cs="Times New Roman"/>
                <w:sz w:val="20"/>
                <w:szCs w:val="20"/>
                <w:lang w:eastAsia="pl-PL" w:bidi="hi-IN"/>
              </w:rPr>
              <w:t>100x</w:t>
            </w:r>
            <w:r w:rsidR="00D97843">
              <w:rPr>
                <w:rFonts w:ascii="Calibri" w:eastAsia="Calibri" w:hAnsi="Calibri" w:cs="Times New Roman"/>
                <w:sz w:val="20"/>
                <w:szCs w:val="20"/>
                <w:lang w:eastAsia="pl-PL" w:bidi="hi-IN"/>
              </w:rPr>
              <w:t>7</w:t>
            </w:r>
            <w:r w:rsidR="00F430CC" w:rsidRPr="00F430CC">
              <w:rPr>
                <w:rFonts w:ascii="Calibri" w:eastAsia="Calibri" w:hAnsi="Calibri" w:cs="Times New Roman"/>
                <w:sz w:val="20"/>
                <w:szCs w:val="20"/>
                <w:lang w:eastAsia="pl-PL" w:bidi="hi-IN"/>
              </w:rPr>
              <w:t>0%</w:t>
            </w:r>
          </w:p>
        </w:tc>
      </w:tr>
    </w:tbl>
    <w:p w:rsidR="00463A7C" w:rsidRDefault="00463A7C" w:rsidP="005E7AF3">
      <w:pPr>
        <w:spacing w:line="276" w:lineRule="auto"/>
        <w:rPr>
          <w:rFonts w:cs="Times New Roman"/>
          <w:sz w:val="20"/>
          <w:szCs w:val="20"/>
        </w:rPr>
      </w:pPr>
    </w:p>
    <w:p w:rsidR="00214DD6" w:rsidRDefault="00214DD6" w:rsidP="003133E0">
      <w:pPr>
        <w:pStyle w:val="Akapitzlist"/>
        <w:numPr>
          <w:ilvl w:val="0"/>
          <w:numId w:val="41"/>
        </w:numPr>
        <w:spacing w:line="276" w:lineRule="auto"/>
      </w:pPr>
      <w:r w:rsidRPr="003133E0">
        <w:rPr>
          <w:rFonts w:cs="Times New Roman"/>
          <w:sz w:val="20"/>
          <w:szCs w:val="20"/>
        </w:rPr>
        <w:t>Kryterium „</w:t>
      </w:r>
      <w:r w:rsidR="00D97843" w:rsidRPr="00D97843">
        <w:rPr>
          <w:rFonts w:cs="Times New Roman"/>
          <w:b/>
          <w:sz w:val="20"/>
          <w:szCs w:val="20"/>
        </w:rPr>
        <w:t xml:space="preserve">Termin </w:t>
      </w:r>
      <w:r w:rsidR="00D97843">
        <w:rPr>
          <w:rFonts w:cs="Times New Roman"/>
          <w:b/>
          <w:sz w:val="20"/>
          <w:szCs w:val="20"/>
        </w:rPr>
        <w:t>dostawy</w:t>
      </w:r>
      <w:r w:rsidR="00D97843" w:rsidRPr="00D97843">
        <w:rPr>
          <w:rFonts w:cs="Times New Roman"/>
          <w:b/>
          <w:sz w:val="20"/>
          <w:szCs w:val="20"/>
        </w:rPr>
        <w:t xml:space="preserve"> zamówienia cząstkowego</w:t>
      </w:r>
      <w:r w:rsidRPr="003133E0">
        <w:rPr>
          <w:rFonts w:cs="Times New Roman"/>
          <w:sz w:val="20"/>
          <w:szCs w:val="20"/>
        </w:rPr>
        <w:t>” – 20 %</w:t>
      </w:r>
    </w:p>
    <w:p w:rsidR="00F80AB4" w:rsidRDefault="00F80AB4" w:rsidP="00F80AB4">
      <w:pPr>
        <w:spacing w:line="276" w:lineRule="auto"/>
        <w:jc w:val="both"/>
        <w:rPr>
          <w:rFonts w:cs="Times New Roman"/>
          <w:sz w:val="20"/>
          <w:szCs w:val="20"/>
        </w:rPr>
      </w:pPr>
      <w:r>
        <w:rPr>
          <w:rFonts w:cs="Times New Roman"/>
          <w:sz w:val="20"/>
          <w:szCs w:val="20"/>
        </w:rPr>
        <w:t>P</w:t>
      </w:r>
      <w:r w:rsidRPr="005E7AF3">
        <w:rPr>
          <w:rFonts w:cs="Times New Roman"/>
          <w:sz w:val="20"/>
          <w:szCs w:val="20"/>
        </w:rPr>
        <w:t>unkty w tym kryterium przyznane zostan</w:t>
      </w:r>
      <w:r>
        <w:rPr>
          <w:rFonts w:cs="Times New Roman"/>
          <w:sz w:val="20"/>
          <w:szCs w:val="20"/>
        </w:rPr>
        <w:t>ą na podstawie terminu dostawy</w:t>
      </w:r>
      <w:r w:rsidRPr="005E7AF3">
        <w:rPr>
          <w:rFonts w:cs="Times New Roman"/>
          <w:sz w:val="20"/>
          <w:szCs w:val="20"/>
        </w:rPr>
        <w:t xml:space="preserve"> </w:t>
      </w:r>
      <w:r>
        <w:rPr>
          <w:rFonts w:cs="Times New Roman"/>
          <w:sz w:val="20"/>
          <w:szCs w:val="20"/>
        </w:rPr>
        <w:t xml:space="preserve">zamówienia cząstkowego </w:t>
      </w:r>
      <w:r w:rsidRPr="005E7AF3">
        <w:rPr>
          <w:rFonts w:cs="Times New Roman"/>
          <w:sz w:val="20"/>
          <w:szCs w:val="20"/>
        </w:rPr>
        <w:t>zaoferowanego przez Wykonawcę w Formularzu Ofertowym.</w:t>
      </w:r>
    </w:p>
    <w:p w:rsidR="00D97843" w:rsidRDefault="00D97843" w:rsidP="00D97843">
      <w:pPr>
        <w:spacing w:after="0" w:line="360" w:lineRule="auto"/>
        <w:jc w:val="both"/>
      </w:pPr>
      <w:r>
        <w:rPr>
          <w:rFonts w:cs="Times New Roman"/>
          <w:sz w:val="20"/>
          <w:szCs w:val="20"/>
        </w:rPr>
        <w:t xml:space="preserve">Termin dostawy zamówienia cząstkowego nie może być krótszy niż </w:t>
      </w:r>
      <w:r w:rsidRPr="00102E66">
        <w:rPr>
          <w:rFonts w:cs="Times New Roman"/>
          <w:b/>
          <w:sz w:val="20"/>
          <w:szCs w:val="20"/>
        </w:rPr>
        <w:t xml:space="preserve">48h </w:t>
      </w:r>
      <w:r w:rsidR="00CA20C6">
        <w:rPr>
          <w:rFonts w:cs="Times New Roman"/>
          <w:sz w:val="20"/>
          <w:szCs w:val="20"/>
        </w:rPr>
        <w:t>i dłuższy niż</w:t>
      </w:r>
      <w:r>
        <w:rPr>
          <w:rFonts w:cs="Times New Roman"/>
          <w:sz w:val="20"/>
          <w:szCs w:val="20"/>
        </w:rPr>
        <w:t xml:space="preserve"> </w:t>
      </w:r>
      <w:r w:rsidRPr="00102E66">
        <w:rPr>
          <w:rFonts w:cs="Times New Roman"/>
          <w:b/>
          <w:sz w:val="20"/>
          <w:szCs w:val="20"/>
        </w:rPr>
        <w:t>96h</w:t>
      </w:r>
      <w:r>
        <w:rPr>
          <w:rFonts w:cs="Times New Roman"/>
          <w:sz w:val="20"/>
          <w:szCs w:val="20"/>
        </w:rPr>
        <w:t xml:space="preserve"> od </w:t>
      </w:r>
      <w:r w:rsidR="003165F1">
        <w:rPr>
          <w:rFonts w:cs="Times New Roman"/>
          <w:sz w:val="20"/>
          <w:szCs w:val="20"/>
        </w:rPr>
        <w:t xml:space="preserve">momentu </w:t>
      </w:r>
      <w:r w:rsidR="006A009C" w:rsidRPr="006A009C">
        <w:rPr>
          <w:rFonts w:cs="Times New Roman"/>
          <w:sz w:val="20"/>
          <w:szCs w:val="20"/>
        </w:rPr>
        <w:t>zgłoszenia zapotrzebowania przez uprawnionego pracownika Zamawiającego</w:t>
      </w:r>
      <w:r w:rsidR="006A009C">
        <w:rPr>
          <w:rFonts w:cs="Times New Roman"/>
          <w:sz w:val="20"/>
          <w:szCs w:val="20"/>
        </w:rPr>
        <w:t>.</w:t>
      </w:r>
    </w:p>
    <w:p w:rsidR="00D97843" w:rsidRDefault="00F80AB4" w:rsidP="00D97843">
      <w:pPr>
        <w:spacing w:after="0" w:line="360" w:lineRule="auto"/>
        <w:jc w:val="both"/>
      </w:pPr>
      <w:r>
        <w:rPr>
          <w:rFonts w:cs="Times New Roman"/>
          <w:sz w:val="20"/>
          <w:szCs w:val="20"/>
        </w:rPr>
        <w:t xml:space="preserve">Oferty będą </w:t>
      </w:r>
      <w:r w:rsidR="00D97843">
        <w:rPr>
          <w:rFonts w:cs="Times New Roman"/>
          <w:sz w:val="20"/>
          <w:szCs w:val="20"/>
        </w:rPr>
        <w:t>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D97843" w:rsidTr="00102E66">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rsidR="00D97843" w:rsidRDefault="00D97843" w:rsidP="00102E66">
            <w:pPr>
              <w:widowControl w:val="0"/>
              <w:suppressAutoHyphens/>
              <w:spacing w:after="0" w:line="360" w:lineRule="auto"/>
              <w:rPr>
                <w:rFonts w:ascii="Calibri" w:eastAsia="Calibri" w:hAnsi="Calibri" w:cs="Calibri"/>
                <w:sz w:val="20"/>
                <w:szCs w:val="20"/>
              </w:rPr>
            </w:pPr>
            <w:r>
              <w:rPr>
                <w:rFonts w:cs="Times New Roman"/>
                <w:sz w:val="20"/>
                <w:szCs w:val="20"/>
                <w:lang w:eastAsia="pl-PL"/>
              </w:rPr>
              <w:t xml:space="preserve">Termin </w:t>
            </w:r>
            <w:r>
              <w:rPr>
                <w:rFonts w:cs="Times New Roman"/>
                <w:bCs/>
                <w:sz w:val="20"/>
                <w:szCs w:val="20"/>
              </w:rPr>
              <w:t xml:space="preserve">dostawy </w:t>
            </w:r>
            <w:r>
              <w:rPr>
                <w:rFonts w:cs="Times New Roman"/>
                <w:sz w:val="20"/>
                <w:szCs w:val="20"/>
                <w:lang w:eastAsia="pl-PL"/>
              </w:rPr>
              <w:t>(</w:t>
            </w:r>
            <w:proofErr w:type="spellStart"/>
            <w:r>
              <w:rPr>
                <w:rFonts w:cs="Times New Roman"/>
                <w:sz w:val="20"/>
                <w:szCs w:val="20"/>
                <w:lang w:eastAsia="pl-PL"/>
              </w:rPr>
              <w:t>Td</w:t>
            </w:r>
            <w:proofErr w:type="spellEnd"/>
            <w:r>
              <w:rPr>
                <w:rFonts w:cs="Times New Roman"/>
                <w:sz w:val="20"/>
                <w:szCs w:val="20"/>
                <w:lang w:eastAsia="pl-PL"/>
              </w:rPr>
              <w:t>)</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D97843" w:rsidRDefault="00D97843" w:rsidP="00102E66">
            <w:pPr>
              <w:widowControl w:val="0"/>
              <w:suppressAutoHyphens/>
              <w:spacing w:after="0" w:line="360" w:lineRule="auto"/>
              <w:rPr>
                <w:rFonts w:ascii="Calibri" w:eastAsia="Calibri" w:hAnsi="Calibri" w:cs="Calibri"/>
                <w:sz w:val="20"/>
                <w:szCs w:val="20"/>
              </w:rPr>
            </w:pPr>
            <w:r>
              <w:rPr>
                <w:rFonts w:cs="Times New Roman"/>
                <w:sz w:val="20"/>
                <w:szCs w:val="20"/>
                <w:lang w:eastAsia="pl-PL"/>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D97843" w:rsidRDefault="00D97843" w:rsidP="00102E66">
            <w:pPr>
              <w:pBdr>
                <w:bottom w:val="single" w:sz="4" w:space="1" w:color="000001"/>
              </w:pBdr>
              <w:spacing w:after="0" w:line="240" w:lineRule="auto"/>
              <w:jc w:val="center"/>
              <w:rPr>
                <w:rFonts w:ascii="Calibri" w:eastAsia="Calibri" w:hAnsi="Calibri" w:cs="Calibri"/>
                <w:sz w:val="20"/>
                <w:szCs w:val="20"/>
              </w:rPr>
            </w:pPr>
            <w:r>
              <w:rPr>
                <w:rFonts w:cs="Times New Roman"/>
                <w:sz w:val="20"/>
                <w:szCs w:val="20"/>
                <w:lang w:eastAsia="pl-PL"/>
              </w:rPr>
              <w:t>najkrótszy termin dostawy</w:t>
            </w:r>
          </w:p>
          <w:p w:rsidR="00D97843" w:rsidRDefault="00D97843" w:rsidP="00102E66">
            <w:pPr>
              <w:widowControl w:val="0"/>
              <w:suppressAutoHyphens/>
              <w:spacing w:after="0" w:line="360" w:lineRule="auto"/>
              <w:jc w:val="center"/>
              <w:rPr>
                <w:rFonts w:ascii="Calibri" w:eastAsia="Calibri" w:hAnsi="Calibri" w:cs="Calibri"/>
                <w:sz w:val="20"/>
                <w:szCs w:val="20"/>
              </w:rPr>
            </w:pPr>
            <w:r>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D97843" w:rsidRDefault="00D97843" w:rsidP="00102E66">
            <w:pPr>
              <w:widowControl w:val="0"/>
              <w:suppressAutoHyphens/>
              <w:spacing w:after="0" w:line="360" w:lineRule="auto"/>
              <w:rPr>
                <w:rFonts w:ascii="Calibri" w:eastAsia="Calibri" w:hAnsi="Calibri" w:cs="Calibri"/>
              </w:rPr>
            </w:pPr>
            <w:r>
              <w:rPr>
                <w:rFonts w:cs="Times New Roman"/>
                <w:sz w:val="20"/>
                <w:szCs w:val="20"/>
                <w:lang w:eastAsia="pl-PL"/>
              </w:rPr>
              <w:t xml:space="preserve"> x 100 x 20%</w:t>
            </w:r>
          </w:p>
        </w:tc>
      </w:tr>
    </w:tbl>
    <w:p w:rsidR="00D97843" w:rsidRDefault="00D97843" w:rsidP="00214DD6">
      <w:pPr>
        <w:spacing w:after="0" w:line="360" w:lineRule="auto"/>
        <w:jc w:val="both"/>
        <w:rPr>
          <w:rFonts w:cs="Times New Roman"/>
          <w:sz w:val="20"/>
          <w:szCs w:val="20"/>
        </w:rPr>
      </w:pPr>
    </w:p>
    <w:p w:rsidR="00102E66" w:rsidRDefault="00102E66" w:rsidP="00214DD6">
      <w:pPr>
        <w:spacing w:after="0" w:line="360" w:lineRule="auto"/>
        <w:jc w:val="both"/>
        <w:rPr>
          <w:rFonts w:cs="Times New Roman"/>
          <w:sz w:val="20"/>
          <w:szCs w:val="20"/>
        </w:rPr>
      </w:pPr>
      <w:r>
        <w:rPr>
          <w:rFonts w:cs="Times New Roman"/>
          <w:sz w:val="20"/>
          <w:szCs w:val="20"/>
        </w:rPr>
        <w:t>Jeżeli Wykonawca zaoferuje termin dostawy dłuższy niż 96h to oferta zostanie odrzucona, jako niezgodna z warunkami zamówienia.</w:t>
      </w:r>
    </w:p>
    <w:p w:rsidR="00102E66" w:rsidRDefault="00102E66" w:rsidP="00214DD6">
      <w:pPr>
        <w:spacing w:after="0" w:line="360" w:lineRule="auto"/>
        <w:jc w:val="both"/>
        <w:rPr>
          <w:rFonts w:cs="Times New Roman"/>
          <w:sz w:val="20"/>
          <w:szCs w:val="20"/>
        </w:rPr>
      </w:pPr>
      <w:r>
        <w:rPr>
          <w:rFonts w:cs="Times New Roman"/>
          <w:sz w:val="20"/>
          <w:szCs w:val="20"/>
        </w:rPr>
        <w:t>Jeżeli Wykonawca zaoferuje termin dostawy krótszy niż 48h to na potrzeby oceny ofert, Zamawiający przyjmie termin 48h, zaś do umowy zostanie wpisany termin zaoferowany przez Wykonawcę.</w:t>
      </w:r>
    </w:p>
    <w:p w:rsidR="00102E66" w:rsidRDefault="00102E66" w:rsidP="00214DD6">
      <w:pPr>
        <w:spacing w:after="0" w:line="360" w:lineRule="auto"/>
        <w:jc w:val="both"/>
        <w:rPr>
          <w:rFonts w:cs="Times New Roman"/>
          <w:sz w:val="20"/>
          <w:szCs w:val="20"/>
        </w:rPr>
      </w:pPr>
      <w:r>
        <w:rPr>
          <w:rFonts w:cs="Times New Roman"/>
          <w:sz w:val="20"/>
          <w:szCs w:val="20"/>
        </w:rPr>
        <w:t>Jeżeli Wykonawca nie poda oferowanego terminu dostawy, to Zamawiający przyjmie, że Wykonawca oferuje maksymalny termin 96h.</w:t>
      </w:r>
    </w:p>
    <w:p w:rsidR="00102E66" w:rsidRDefault="00102E66" w:rsidP="00214DD6">
      <w:pPr>
        <w:spacing w:after="0" w:line="360" w:lineRule="auto"/>
        <w:jc w:val="both"/>
        <w:rPr>
          <w:rFonts w:cs="Times New Roman"/>
          <w:sz w:val="20"/>
          <w:szCs w:val="20"/>
        </w:rPr>
      </w:pPr>
    </w:p>
    <w:p w:rsidR="00214DD6" w:rsidRPr="003133E0" w:rsidRDefault="00214DD6" w:rsidP="003133E0">
      <w:pPr>
        <w:pStyle w:val="Akapitzlist"/>
        <w:numPr>
          <w:ilvl w:val="0"/>
          <w:numId w:val="41"/>
        </w:numPr>
        <w:spacing w:line="276" w:lineRule="auto"/>
        <w:rPr>
          <w:rFonts w:cs="Calibri"/>
        </w:rPr>
      </w:pPr>
      <w:r w:rsidRPr="003133E0">
        <w:rPr>
          <w:rFonts w:cs="Times New Roman"/>
          <w:sz w:val="20"/>
          <w:szCs w:val="20"/>
        </w:rPr>
        <w:t>Kryterium „</w:t>
      </w:r>
      <w:r w:rsidRPr="003133E0">
        <w:rPr>
          <w:rFonts w:cs="Times New Roman"/>
          <w:b/>
          <w:sz w:val="20"/>
          <w:szCs w:val="20"/>
        </w:rPr>
        <w:t>Termin płatności</w:t>
      </w:r>
      <w:r w:rsidRPr="003133E0">
        <w:rPr>
          <w:rFonts w:cs="Times New Roman"/>
          <w:sz w:val="20"/>
          <w:szCs w:val="20"/>
        </w:rPr>
        <w:t>”</w:t>
      </w:r>
      <w:r w:rsidR="00AD48F8" w:rsidRPr="003133E0">
        <w:rPr>
          <w:rFonts w:cs="Times New Roman"/>
          <w:sz w:val="20"/>
          <w:szCs w:val="20"/>
        </w:rPr>
        <w:t xml:space="preserve"> </w:t>
      </w:r>
      <w:r w:rsidRPr="003133E0">
        <w:rPr>
          <w:rFonts w:cs="Times New Roman"/>
          <w:sz w:val="20"/>
          <w:szCs w:val="20"/>
        </w:rPr>
        <w:t>–</w:t>
      </w:r>
      <w:r w:rsidR="00D97843">
        <w:rPr>
          <w:rFonts w:cs="Times New Roman"/>
          <w:sz w:val="20"/>
          <w:szCs w:val="20"/>
        </w:rPr>
        <w:t xml:space="preserve"> 1</w:t>
      </w:r>
      <w:r w:rsidRPr="003133E0">
        <w:rPr>
          <w:rFonts w:cs="Times New Roman"/>
          <w:sz w:val="20"/>
          <w:szCs w:val="20"/>
        </w:rPr>
        <w:t>0%</w:t>
      </w:r>
    </w:p>
    <w:p w:rsidR="00F80AB4" w:rsidRDefault="00102E66" w:rsidP="00D97843">
      <w:pPr>
        <w:spacing w:line="276" w:lineRule="auto"/>
        <w:jc w:val="both"/>
        <w:rPr>
          <w:rFonts w:cs="Times New Roman"/>
          <w:sz w:val="20"/>
          <w:szCs w:val="20"/>
        </w:rPr>
      </w:pPr>
      <w:r>
        <w:rPr>
          <w:rFonts w:cs="Times New Roman"/>
          <w:sz w:val="20"/>
          <w:szCs w:val="20"/>
        </w:rPr>
        <w:t>P</w:t>
      </w:r>
      <w:r w:rsidR="00D97843" w:rsidRPr="005E7AF3">
        <w:rPr>
          <w:rFonts w:cs="Times New Roman"/>
          <w:sz w:val="20"/>
          <w:szCs w:val="20"/>
        </w:rPr>
        <w:t>unkty w tym kryterium przyznane zostaną na podstawie terminu płatności zaoferowanego przez Wykonawcę w Formularzu Ofertowym.</w:t>
      </w:r>
    </w:p>
    <w:p w:rsidR="00F80AB4" w:rsidRDefault="00F80AB4" w:rsidP="00D97843">
      <w:pPr>
        <w:spacing w:line="276" w:lineRule="auto"/>
        <w:jc w:val="both"/>
        <w:rPr>
          <w:rFonts w:cs="Times New Roman"/>
          <w:sz w:val="20"/>
          <w:szCs w:val="20"/>
        </w:rPr>
      </w:pPr>
      <w:r>
        <w:rPr>
          <w:rFonts w:cs="Times New Roman"/>
          <w:sz w:val="20"/>
          <w:szCs w:val="20"/>
        </w:rPr>
        <w:t>Minimalny termin płatności</w:t>
      </w:r>
      <w:r w:rsidRPr="00F80AB4">
        <w:rPr>
          <w:rFonts w:cs="Times New Roman"/>
          <w:sz w:val="20"/>
          <w:szCs w:val="20"/>
        </w:rPr>
        <w:t xml:space="preserve"> n</w:t>
      </w:r>
      <w:r>
        <w:rPr>
          <w:rFonts w:cs="Times New Roman"/>
          <w:sz w:val="20"/>
          <w:szCs w:val="20"/>
        </w:rPr>
        <w:t xml:space="preserve">ie może być krótszy niż </w:t>
      </w:r>
      <w:r w:rsidRPr="00312B29">
        <w:rPr>
          <w:rFonts w:cs="Times New Roman"/>
          <w:b/>
          <w:sz w:val="20"/>
          <w:szCs w:val="20"/>
        </w:rPr>
        <w:t>30 dni</w:t>
      </w:r>
      <w:r>
        <w:rPr>
          <w:rFonts w:cs="Times New Roman"/>
          <w:sz w:val="20"/>
          <w:szCs w:val="20"/>
        </w:rPr>
        <w:t xml:space="preserve"> </w:t>
      </w:r>
      <w:r w:rsidRPr="00F80AB4">
        <w:rPr>
          <w:rFonts w:cs="Times New Roman"/>
          <w:sz w:val="20"/>
          <w:szCs w:val="20"/>
        </w:rPr>
        <w:t>od momentu dostarczenia faktury Zamawiającemu.</w:t>
      </w:r>
    </w:p>
    <w:p w:rsidR="00D97843" w:rsidRDefault="00102E66" w:rsidP="00D97843">
      <w:pPr>
        <w:spacing w:line="276" w:lineRule="auto"/>
        <w:jc w:val="both"/>
        <w:rPr>
          <w:rFonts w:cs="Times New Roman"/>
          <w:sz w:val="20"/>
          <w:szCs w:val="20"/>
        </w:rPr>
      </w:pPr>
      <w:r>
        <w:rPr>
          <w:rFonts w:cs="Times New Roman"/>
          <w:sz w:val="20"/>
          <w:szCs w:val="20"/>
        </w:rPr>
        <w:t>Oferty w tym kryterium zostaną ocenione zgodnie z poniższą tabelą:</w:t>
      </w:r>
    </w:p>
    <w:tbl>
      <w:tblPr>
        <w:tblStyle w:val="Tabela-Siatka"/>
        <w:tblW w:w="0" w:type="auto"/>
        <w:tblInd w:w="1668" w:type="dxa"/>
        <w:tblLook w:val="04A0" w:firstRow="1" w:lastRow="0" w:firstColumn="1" w:lastColumn="0" w:noHBand="0" w:noVBand="1"/>
      </w:tblPr>
      <w:tblGrid>
        <w:gridCol w:w="2938"/>
        <w:gridCol w:w="2873"/>
      </w:tblGrid>
      <w:tr w:rsidR="00102E66" w:rsidTr="00102E66">
        <w:tc>
          <w:tcPr>
            <w:tcW w:w="2938" w:type="dxa"/>
            <w:shd w:val="clear" w:color="auto" w:fill="E7E6E6" w:themeFill="background2"/>
          </w:tcPr>
          <w:p w:rsidR="00102E66" w:rsidRPr="00102E66" w:rsidRDefault="00102E66" w:rsidP="00102E66">
            <w:pPr>
              <w:spacing w:line="276" w:lineRule="auto"/>
              <w:jc w:val="center"/>
              <w:rPr>
                <w:b/>
                <w:sz w:val="20"/>
                <w:szCs w:val="20"/>
              </w:rPr>
            </w:pPr>
            <w:r w:rsidRPr="00102E66">
              <w:rPr>
                <w:b/>
                <w:sz w:val="20"/>
                <w:szCs w:val="20"/>
              </w:rPr>
              <w:lastRenderedPageBreak/>
              <w:t>Zaoferowany termin płatności</w:t>
            </w:r>
          </w:p>
        </w:tc>
        <w:tc>
          <w:tcPr>
            <w:tcW w:w="2873" w:type="dxa"/>
            <w:shd w:val="clear" w:color="auto" w:fill="E7E6E6" w:themeFill="background2"/>
          </w:tcPr>
          <w:p w:rsidR="00102E66" w:rsidRPr="00102E66" w:rsidRDefault="00102E66" w:rsidP="00102E66">
            <w:pPr>
              <w:spacing w:line="276" w:lineRule="auto"/>
              <w:jc w:val="center"/>
              <w:rPr>
                <w:b/>
                <w:sz w:val="20"/>
                <w:szCs w:val="20"/>
              </w:rPr>
            </w:pPr>
            <w:r w:rsidRPr="00102E66">
              <w:rPr>
                <w:b/>
                <w:sz w:val="20"/>
                <w:szCs w:val="20"/>
              </w:rPr>
              <w:t>Liczba punktów</w:t>
            </w:r>
          </w:p>
        </w:tc>
      </w:tr>
      <w:tr w:rsidR="00102E66" w:rsidTr="00102E66">
        <w:tc>
          <w:tcPr>
            <w:tcW w:w="2938" w:type="dxa"/>
          </w:tcPr>
          <w:p w:rsidR="00102E66" w:rsidRDefault="00102E66" w:rsidP="00102E66">
            <w:pPr>
              <w:spacing w:line="276" w:lineRule="auto"/>
              <w:jc w:val="center"/>
              <w:rPr>
                <w:sz w:val="20"/>
                <w:szCs w:val="20"/>
              </w:rPr>
            </w:pPr>
            <w:r>
              <w:rPr>
                <w:sz w:val="20"/>
                <w:szCs w:val="20"/>
              </w:rPr>
              <w:t>30 dni</w:t>
            </w:r>
          </w:p>
        </w:tc>
        <w:tc>
          <w:tcPr>
            <w:tcW w:w="2873" w:type="dxa"/>
          </w:tcPr>
          <w:p w:rsidR="00102E66" w:rsidRDefault="00102E66" w:rsidP="00102E66">
            <w:pPr>
              <w:spacing w:line="276" w:lineRule="auto"/>
              <w:jc w:val="center"/>
              <w:rPr>
                <w:sz w:val="20"/>
                <w:szCs w:val="20"/>
              </w:rPr>
            </w:pPr>
            <w:r>
              <w:rPr>
                <w:sz w:val="20"/>
                <w:szCs w:val="20"/>
              </w:rPr>
              <w:t>0 pkt</w:t>
            </w:r>
          </w:p>
        </w:tc>
      </w:tr>
      <w:tr w:rsidR="00102E66" w:rsidTr="00102E66">
        <w:tc>
          <w:tcPr>
            <w:tcW w:w="2938" w:type="dxa"/>
          </w:tcPr>
          <w:p w:rsidR="00102E66" w:rsidRDefault="00102E66" w:rsidP="00102E66">
            <w:pPr>
              <w:spacing w:line="276" w:lineRule="auto"/>
              <w:jc w:val="center"/>
              <w:rPr>
                <w:sz w:val="20"/>
                <w:szCs w:val="20"/>
              </w:rPr>
            </w:pPr>
            <w:r>
              <w:rPr>
                <w:sz w:val="20"/>
                <w:szCs w:val="20"/>
              </w:rPr>
              <w:t>45 dni</w:t>
            </w:r>
          </w:p>
        </w:tc>
        <w:tc>
          <w:tcPr>
            <w:tcW w:w="2873" w:type="dxa"/>
          </w:tcPr>
          <w:p w:rsidR="00102E66" w:rsidRDefault="00102E66" w:rsidP="00102E66">
            <w:pPr>
              <w:spacing w:line="276" w:lineRule="auto"/>
              <w:jc w:val="center"/>
              <w:rPr>
                <w:sz w:val="20"/>
                <w:szCs w:val="20"/>
              </w:rPr>
            </w:pPr>
            <w:r>
              <w:rPr>
                <w:sz w:val="20"/>
                <w:szCs w:val="20"/>
              </w:rPr>
              <w:t>5 pkt</w:t>
            </w:r>
          </w:p>
        </w:tc>
      </w:tr>
      <w:tr w:rsidR="00102E66" w:rsidTr="00102E66">
        <w:tc>
          <w:tcPr>
            <w:tcW w:w="2938" w:type="dxa"/>
          </w:tcPr>
          <w:p w:rsidR="00102E66" w:rsidRDefault="00102E66" w:rsidP="00102E66">
            <w:pPr>
              <w:spacing w:line="276" w:lineRule="auto"/>
              <w:jc w:val="center"/>
              <w:rPr>
                <w:sz w:val="20"/>
                <w:szCs w:val="20"/>
              </w:rPr>
            </w:pPr>
            <w:r>
              <w:rPr>
                <w:sz w:val="20"/>
                <w:szCs w:val="20"/>
              </w:rPr>
              <w:t>60 dni</w:t>
            </w:r>
          </w:p>
        </w:tc>
        <w:tc>
          <w:tcPr>
            <w:tcW w:w="2873" w:type="dxa"/>
          </w:tcPr>
          <w:p w:rsidR="00102E66" w:rsidRDefault="00102E66" w:rsidP="00102E66">
            <w:pPr>
              <w:spacing w:line="276" w:lineRule="auto"/>
              <w:jc w:val="center"/>
              <w:rPr>
                <w:sz w:val="20"/>
                <w:szCs w:val="20"/>
              </w:rPr>
            </w:pPr>
            <w:r>
              <w:rPr>
                <w:sz w:val="20"/>
                <w:szCs w:val="20"/>
              </w:rPr>
              <w:t>10 pkt</w:t>
            </w:r>
          </w:p>
        </w:tc>
      </w:tr>
    </w:tbl>
    <w:p w:rsidR="00F80AB4" w:rsidRDefault="00F80AB4" w:rsidP="00F80AB4">
      <w:pPr>
        <w:spacing w:line="276" w:lineRule="auto"/>
        <w:jc w:val="both"/>
        <w:rPr>
          <w:sz w:val="20"/>
          <w:szCs w:val="20"/>
        </w:rPr>
      </w:pPr>
    </w:p>
    <w:p w:rsidR="00F80AB4" w:rsidRPr="00F80AB4" w:rsidRDefault="00F80AB4" w:rsidP="00F80AB4">
      <w:pPr>
        <w:spacing w:line="276" w:lineRule="auto"/>
        <w:jc w:val="both"/>
        <w:rPr>
          <w:sz w:val="20"/>
          <w:szCs w:val="20"/>
        </w:rPr>
      </w:pPr>
      <w:r w:rsidRPr="00F80AB4">
        <w:rPr>
          <w:sz w:val="20"/>
          <w:szCs w:val="20"/>
        </w:rPr>
        <w:t>Jeżeli Wykonawca zaoferuj</w:t>
      </w:r>
      <w:r>
        <w:rPr>
          <w:sz w:val="20"/>
          <w:szCs w:val="20"/>
        </w:rPr>
        <w:t>e termin płatności krótszy niż 30 dni</w:t>
      </w:r>
      <w:r w:rsidRPr="00F80AB4">
        <w:rPr>
          <w:sz w:val="20"/>
          <w:szCs w:val="20"/>
        </w:rPr>
        <w:t xml:space="preserve"> to oferta zostanie odrzucona, jako niezgodna z warunkami zamówienia.</w:t>
      </w:r>
    </w:p>
    <w:p w:rsidR="00F80AB4" w:rsidRPr="00F80AB4" w:rsidRDefault="00F80AB4" w:rsidP="00F80AB4">
      <w:pPr>
        <w:spacing w:line="276" w:lineRule="auto"/>
        <w:jc w:val="both"/>
        <w:rPr>
          <w:sz w:val="20"/>
          <w:szCs w:val="20"/>
        </w:rPr>
      </w:pPr>
      <w:r w:rsidRPr="00F80AB4">
        <w:rPr>
          <w:sz w:val="20"/>
          <w:szCs w:val="20"/>
        </w:rPr>
        <w:t>Jeżeli Wykonawca zaofe</w:t>
      </w:r>
      <w:r>
        <w:rPr>
          <w:sz w:val="20"/>
          <w:szCs w:val="20"/>
        </w:rPr>
        <w:t>ruje termin płatności dłuższy niż 60 dni</w:t>
      </w:r>
      <w:r w:rsidRPr="00F80AB4">
        <w:rPr>
          <w:sz w:val="20"/>
          <w:szCs w:val="20"/>
        </w:rPr>
        <w:t xml:space="preserve"> to na potrzeby oceny ofert</w:t>
      </w:r>
      <w:r>
        <w:rPr>
          <w:sz w:val="20"/>
          <w:szCs w:val="20"/>
        </w:rPr>
        <w:t>, Zamawiający przyjmie termin 60 dni</w:t>
      </w:r>
      <w:r w:rsidRPr="00F80AB4">
        <w:rPr>
          <w:sz w:val="20"/>
          <w:szCs w:val="20"/>
        </w:rPr>
        <w:t>, zaś do umowy zostanie wpisany termin zaoferowany przez Wykonawcę.</w:t>
      </w:r>
    </w:p>
    <w:p w:rsidR="00102E66" w:rsidRDefault="00F80AB4" w:rsidP="00D97843">
      <w:pPr>
        <w:spacing w:line="276" w:lineRule="auto"/>
        <w:jc w:val="both"/>
        <w:rPr>
          <w:sz w:val="20"/>
          <w:szCs w:val="20"/>
        </w:rPr>
      </w:pPr>
      <w:r w:rsidRPr="00F80AB4">
        <w:rPr>
          <w:sz w:val="20"/>
          <w:szCs w:val="20"/>
        </w:rPr>
        <w:t xml:space="preserve">Jeżeli Wykonawca nie </w:t>
      </w:r>
      <w:r>
        <w:rPr>
          <w:sz w:val="20"/>
          <w:szCs w:val="20"/>
        </w:rPr>
        <w:t>poda oferowanego terminu płatności</w:t>
      </w:r>
      <w:r w:rsidRPr="00F80AB4">
        <w:rPr>
          <w:sz w:val="20"/>
          <w:szCs w:val="20"/>
        </w:rPr>
        <w:t xml:space="preserve">, to Zamawiający przyjmie, że Wykonawca </w:t>
      </w:r>
      <w:r>
        <w:rPr>
          <w:sz w:val="20"/>
          <w:szCs w:val="20"/>
        </w:rPr>
        <w:t>oferuje minimalny termin 30 dni.</w:t>
      </w:r>
    </w:p>
    <w:p w:rsidR="00312B29" w:rsidRPr="005E7AF3" w:rsidRDefault="00312B29" w:rsidP="00D97843">
      <w:pPr>
        <w:spacing w:line="276" w:lineRule="auto"/>
        <w:jc w:val="both"/>
        <w:rPr>
          <w:sz w:val="20"/>
          <w:szCs w:val="20"/>
        </w:rPr>
      </w:pP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sidR="003133E0">
        <w:rPr>
          <w:rFonts w:cstheme="minorHAnsi"/>
          <w:sz w:val="20"/>
          <w:szCs w:val="20"/>
        </w:rPr>
        <w:t>uzyska najwyższą liczbę punktów w ww. kryteriach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Wzór umowy stanowi Załącznik nr 3 do SWZ.</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lastRenderedPageBreak/>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EB4EA6">
      <w:pPr>
        <w:pStyle w:val="Akapitzlist"/>
        <w:numPr>
          <w:ilvl w:val="0"/>
          <w:numId w:val="19"/>
        </w:numPr>
        <w:spacing w:line="276" w:lineRule="auto"/>
        <w:jc w:val="both"/>
        <w:rPr>
          <w:rFonts w:cstheme="minorHAnsi"/>
          <w:sz w:val="20"/>
          <w:szCs w:val="20"/>
        </w:rPr>
      </w:pPr>
      <w:r w:rsidRPr="00246969">
        <w:rPr>
          <w:rFonts w:cstheme="minorHAnsi"/>
          <w:sz w:val="20"/>
          <w:szCs w:val="20"/>
        </w:rPr>
        <w:t>Projektowane postanowienia umowy, które zostaną wprowadzone do treści zawieranej umowy, określone zostały we wzorze umowy stanowiącym Załącznik Nr 3 do SWZ.</w:t>
      </w:r>
    </w:p>
    <w:p w:rsidR="00996677" w:rsidRPr="00246969" w:rsidRDefault="00E85C09" w:rsidP="00EB4EA6">
      <w:pPr>
        <w:pStyle w:val="Akapitzlist"/>
        <w:numPr>
          <w:ilvl w:val="0"/>
          <w:numId w:val="19"/>
        </w:numPr>
        <w:spacing w:line="276" w:lineRule="auto"/>
        <w:jc w:val="both"/>
        <w:rPr>
          <w:rFonts w:cstheme="minorHAnsi"/>
          <w:sz w:val="20"/>
          <w:szCs w:val="20"/>
        </w:rPr>
      </w:pPr>
      <w:bookmarkStart w:id="9" w:name="__DdeLink__574_438851027"/>
      <w:bookmarkStart w:id="10" w:name="__DdeLink__528_1218097975"/>
      <w:bookmarkEnd w:id="9"/>
      <w:bookmarkEnd w:id="10"/>
      <w:r w:rsidRPr="00246969">
        <w:rPr>
          <w:rFonts w:cstheme="minorHAnsi"/>
          <w:sz w:val="20"/>
          <w:szCs w:val="20"/>
        </w:rPr>
        <w:t xml:space="preserve">Zamawiający przewiduje możliwość wprowadzenia zmian do zawartej umowy w sprawie zamówienia publicznego, na podstawie art. 454 - 455 Ustawy oraz na warunkach określonych we wzorze umowy. </w:t>
      </w:r>
    </w:p>
    <w:p w:rsidR="00312B29" w:rsidRDefault="00312B29">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EB4EA6">
      <w:pPr>
        <w:pStyle w:val="Akapitzlist"/>
        <w:numPr>
          <w:ilvl w:val="0"/>
          <w:numId w:val="20"/>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EB4EA6">
      <w:pPr>
        <w:pStyle w:val="Akapitzlist"/>
        <w:numPr>
          <w:ilvl w:val="0"/>
          <w:numId w:val="21"/>
        </w:numPr>
        <w:spacing w:line="276" w:lineRule="auto"/>
        <w:ind w:left="851"/>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312B29" w:rsidRDefault="00312B29">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7522D3" w:rsidRPr="000A22C1" w:rsidRDefault="00E85C09" w:rsidP="000A22C1">
      <w:pPr>
        <w:pStyle w:val="Akapitzlist"/>
        <w:numPr>
          <w:ilvl w:val="0"/>
          <w:numId w:val="22"/>
        </w:numPr>
        <w:spacing w:line="276" w:lineRule="auto"/>
        <w:jc w:val="both"/>
        <w:rPr>
          <w:rFonts w:cstheme="minorHAnsi"/>
          <w:sz w:val="20"/>
          <w:szCs w:val="20"/>
        </w:rPr>
      </w:pPr>
      <w:r w:rsidRPr="007522D3">
        <w:rPr>
          <w:rFonts w:cstheme="minorHAnsi"/>
          <w:sz w:val="20"/>
          <w:szCs w:val="20"/>
          <w:u w:val="single"/>
        </w:rPr>
        <w:t xml:space="preserve">Zamawiający dopuszcza </w:t>
      </w:r>
      <w:r w:rsidR="00081783">
        <w:rPr>
          <w:rFonts w:cstheme="minorHAnsi"/>
          <w:sz w:val="20"/>
          <w:szCs w:val="20"/>
          <w:u w:val="single"/>
        </w:rPr>
        <w:t xml:space="preserve">możliwość </w:t>
      </w:r>
      <w:r w:rsidRPr="007522D3">
        <w:rPr>
          <w:rFonts w:cstheme="minorHAnsi"/>
          <w:sz w:val="20"/>
          <w:szCs w:val="20"/>
          <w:u w:val="single"/>
        </w:rPr>
        <w:t>składani</w:t>
      </w:r>
      <w:r w:rsidR="007522D3" w:rsidRPr="007522D3">
        <w:rPr>
          <w:rFonts w:cstheme="minorHAnsi"/>
          <w:sz w:val="20"/>
          <w:szCs w:val="20"/>
          <w:u w:val="single"/>
        </w:rPr>
        <w:t>a</w:t>
      </w:r>
      <w:r w:rsidR="000A22C1">
        <w:rPr>
          <w:rFonts w:cstheme="minorHAnsi"/>
          <w:sz w:val="20"/>
          <w:szCs w:val="20"/>
          <w:u w:val="single"/>
        </w:rPr>
        <w:t xml:space="preserve"> ofert częściowych.</w:t>
      </w:r>
      <w:r w:rsidR="00EB4EA6" w:rsidRPr="007522D3">
        <w:rPr>
          <w:rFonts w:cstheme="minorHAnsi"/>
          <w:sz w:val="20"/>
          <w:szCs w:val="20"/>
        </w:rPr>
        <w:t xml:space="preserve"> </w:t>
      </w:r>
      <w:r w:rsidR="000A22C1" w:rsidRPr="000A22C1">
        <w:rPr>
          <w:rFonts w:cstheme="minorHAnsi"/>
          <w:sz w:val="20"/>
          <w:szCs w:val="20"/>
        </w:rPr>
        <w:t>Pod pojęciem oferty częściowej należy</w:t>
      </w:r>
      <w:r w:rsidR="000A22C1">
        <w:rPr>
          <w:rFonts w:cstheme="minorHAnsi"/>
          <w:sz w:val="20"/>
          <w:szCs w:val="20"/>
        </w:rPr>
        <w:t xml:space="preserve"> </w:t>
      </w:r>
      <w:r w:rsidR="000A22C1" w:rsidRPr="000A22C1">
        <w:rPr>
          <w:rFonts w:cstheme="minorHAnsi"/>
          <w:sz w:val="20"/>
          <w:szCs w:val="20"/>
        </w:rPr>
        <w:t xml:space="preserve">rozumień złożenie oferty na poszczególne </w:t>
      </w:r>
      <w:r w:rsidR="000A22C1">
        <w:rPr>
          <w:rFonts w:cstheme="minorHAnsi"/>
          <w:sz w:val="20"/>
          <w:szCs w:val="20"/>
        </w:rPr>
        <w:t>części</w:t>
      </w:r>
      <w:r w:rsidR="003133E0">
        <w:rPr>
          <w:rFonts w:cstheme="minorHAnsi"/>
          <w:sz w:val="20"/>
          <w:szCs w:val="20"/>
        </w:rPr>
        <w:t xml:space="preserve"> (pakiety)</w:t>
      </w:r>
      <w:r w:rsidR="000A22C1">
        <w:rPr>
          <w:rFonts w:cstheme="minorHAnsi"/>
          <w:sz w:val="20"/>
          <w:szCs w:val="20"/>
        </w:rPr>
        <w:t xml:space="preserve">. </w:t>
      </w:r>
    </w:p>
    <w:p w:rsidR="00996677" w:rsidRPr="007522D3" w:rsidRDefault="00E85C09" w:rsidP="00EB4EA6">
      <w:pPr>
        <w:pStyle w:val="Akapitzlist"/>
        <w:numPr>
          <w:ilvl w:val="0"/>
          <w:numId w:val="22"/>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rozliczenia między Zamawiającym</w:t>
      </w:r>
      <w:r w:rsidR="002C06C8">
        <w:rPr>
          <w:rFonts w:cstheme="minorHAnsi"/>
          <w:sz w:val="20"/>
          <w:szCs w:val="20"/>
        </w:rPr>
        <w:t>,</w:t>
      </w:r>
      <w:r w:rsidRPr="00246969">
        <w:rPr>
          <w:rFonts w:cstheme="minorHAnsi"/>
          <w:sz w:val="20"/>
          <w:szCs w:val="20"/>
        </w:rPr>
        <w:t xml:space="preserve"> a Wykonawcą w walutach obcych.</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lastRenderedPageBreak/>
        <w:t>Zamawiający nie przewiduje zwrotu kosztów udziału w niniejszym postępowaniu o udzielenie zamówienia publicznego.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19">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412979">
      <w:pPr>
        <w:numPr>
          <w:ilvl w:val="0"/>
          <w:numId w:val="23"/>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lastRenderedPageBreak/>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EB4EA6">
      <w:pPr>
        <w:pStyle w:val="Akapitzlist"/>
        <w:numPr>
          <w:ilvl w:val="0"/>
          <w:numId w:val="22"/>
        </w:numPr>
        <w:spacing w:line="276" w:lineRule="auto"/>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996677" w:rsidRPr="00246969" w:rsidRDefault="00E85C09">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0065CF" w:rsidRDefault="000065CF">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sz w:val="20"/>
          <w:szCs w:val="20"/>
        </w:rPr>
        <w:t>Załączniki do SWZ:</w:t>
      </w:r>
    </w:p>
    <w:p w:rsidR="00996677" w:rsidRPr="00246969" w:rsidRDefault="00E85C09">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w:t>
      </w:r>
      <w:r w:rsidR="00CA20C6">
        <w:rPr>
          <w:rFonts w:cstheme="minorHAnsi"/>
          <w:sz w:val="20"/>
          <w:szCs w:val="20"/>
        </w:rPr>
        <w:t xml:space="preserve"> </w:t>
      </w:r>
      <w:r w:rsidR="00CA20C6" w:rsidRPr="00CA20C6">
        <w:rPr>
          <w:rFonts w:cstheme="minorHAnsi"/>
          <w:sz w:val="20"/>
          <w:szCs w:val="20"/>
        </w:rPr>
        <w:t>2.1, 2.2, 2.3, 2.4, 2.5, 2.6, 2.7, 2.8, 2.9, 2.10, 2.11</w:t>
      </w:r>
      <w:r w:rsidR="00997D5D" w:rsidRPr="00246969">
        <w:rPr>
          <w:rFonts w:cstheme="minorHAnsi"/>
          <w:sz w:val="20"/>
          <w:szCs w:val="20"/>
        </w:rPr>
        <w:t xml:space="preserve"> – Opis przedmiotu zamówienia</w:t>
      </w:r>
      <w:r w:rsidR="00DB75AD">
        <w:rPr>
          <w:rFonts w:cstheme="minorHAnsi"/>
          <w:sz w:val="20"/>
          <w:szCs w:val="20"/>
        </w:rPr>
        <w:t xml:space="preserve"> – Formularz Cenowy</w:t>
      </w:r>
      <w:r w:rsidRPr="00246969">
        <w:rPr>
          <w:rFonts w:cstheme="minorHAnsi"/>
          <w:sz w:val="20"/>
          <w:szCs w:val="20"/>
        </w:rPr>
        <w:t>,</w:t>
      </w:r>
    </w:p>
    <w:p w:rsidR="00996677" w:rsidRPr="00246969" w:rsidRDefault="00E85C09">
      <w:pPr>
        <w:spacing w:after="0" w:line="276" w:lineRule="auto"/>
        <w:jc w:val="both"/>
        <w:rPr>
          <w:rFonts w:cstheme="minorHAnsi"/>
          <w:sz w:val="20"/>
          <w:szCs w:val="20"/>
        </w:rPr>
      </w:pPr>
      <w:r w:rsidRPr="00246969">
        <w:rPr>
          <w:rFonts w:cstheme="minorHAnsi"/>
          <w:sz w:val="20"/>
          <w:szCs w:val="20"/>
        </w:rPr>
        <w:t>Załącznik Nr 3 – Wzór umowy,</w:t>
      </w:r>
    </w:p>
    <w:p w:rsidR="00996677" w:rsidRDefault="00E85C09">
      <w:pPr>
        <w:spacing w:after="0" w:line="276" w:lineRule="auto"/>
        <w:jc w:val="both"/>
        <w:rPr>
          <w:rFonts w:cstheme="minorHAnsi"/>
          <w:sz w:val="20"/>
          <w:szCs w:val="20"/>
        </w:rPr>
      </w:pPr>
      <w:r w:rsidRPr="00246969">
        <w:rPr>
          <w:rFonts w:cstheme="minorHAnsi"/>
          <w:sz w:val="20"/>
          <w:szCs w:val="20"/>
        </w:rPr>
        <w:t xml:space="preserve">Załącznik Nr </w:t>
      </w:r>
      <w:r w:rsidR="00AD48F8">
        <w:rPr>
          <w:rFonts w:cstheme="minorHAnsi"/>
          <w:sz w:val="20"/>
          <w:szCs w:val="20"/>
        </w:rPr>
        <w:t>4</w:t>
      </w:r>
      <w:r w:rsidRPr="00246969">
        <w:rPr>
          <w:rFonts w:cstheme="minorHAnsi"/>
          <w:sz w:val="20"/>
          <w:szCs w:val="20"/>
        </w:rPr>
        <w:t xml:space="preserve"> – Oświadczenie o braku podstaw do wykluczenia z postępowania o ud</w:t>
      </w:r>
      <w:r w:rsidR="00312B29">
        <w:rPr>
          <w:rFonts w:cstheme="minorHAnsi"/>
          <w:sz w:val="20"/>
          <w:szCs w:val="20"/>
        </w:rPr>
        <w:t>zielenie zamówienia publicznego.</w:t>
      </w:r>
    </w:p>
    <w:p w:rsidR="00996677" w:rsidRPr="00246969" w:rsidRDefault="00996677">
      <w:pPr>
        <w:spacing w:after="0" w:line="276" w:lineRule="auto"/>
        <w:jc w:val="both"/>
        <w:rPr>
          <w:rFonts w:cstheme="minorHAnsi"/>
          <w:color w:val="FF3333"/>
          <w:sz w:val="20"/>
          <w:szCs w:val="20"/>
        </w:rPr>
      </w:pPr>
    </w:p>
    <w:p w:rsidR="00996677" w:rsidRDefault="00996677">
      <w:pPr>
        <w:spacing w:after="0" w:line="276" w:lineRule="auto"/>
        <w:jc w:val="both"/>
        <w:rPr>
          <w:rFonts w:cstheme="minorHAnsi"/>
          <w:color w:val="FF3333"/>
          <w:sz w:val="20"/>
          <w:szCs w:val="20"/>
        </w:rPr>
      </w:pPr>
    </w:p>
    <w:p w:rsidR="000065CF" w:rsidRDefault="000065CF">
      <w:pPr>
        <w:spacing w:after="0" w:line="276" w:lineRule="auto"/>
        <w:jc w:val="both"/>
        <w:rPr>
          <w:rFonts w:cstheme="minorHAnsi"/>
          <w:color w:val="FF3333"/>
          <w:sz w:val="20"/>
          <w:szCs w:val="20"/>
        </w:rPr>
      </w:pPr>
      <w:bookmarkStart w:id="11" w:name="_GoBack"/>
      <w:bookmarkEnd w:id="11"/>
    </w:p>
    <w:p w:rsidR="000065CF" w:rsidRDefault="000065CF">
      <w:pPr>
        <w:spacing w:after="0" w:line="276" w:lineRule="auto"/>
        <w:jc w:val="both"/>
        <w:rPr>
          <w:rFonts w:cstheme="minorHAnsi"/>
          <w:color w:val="FF3333"/>
          <w:sz w:val="20"/>
          <w:szCs w:val="20"/>
        </w:rPr>
      </w:pPr>
    </w:p>
    <w:p w:rsidR="000065CF" w:rsidRPr="00246969" w:rsidRDefault="000065CF">
      <w:pPr>
        <w:spacing w:after="0" w:line="276" w:lineRule="auto"/>
        <w:jc w:val="both"/>
        <w:rPr>
          <w:rFonts w:cstheme="minorHAnsi"/>
          <w:color w:val="FF3333"/>
          <w:sz w:val="20"/>
          <w:szCs w:val="20"/>
        </w:rPr>
      </w:pPr>
      <w:r>
        <w:rPr>
          <w:rFonts w:cstheme="minorHAnsi"/>
          <w:color w:val="FF3333"/>
          <w:sz w:val="20"/>
          <w:szCs w:val="20"/>
        </w:rPr>
        <w:tab/>
      </w:r>
    </w:p>
    <w:p w:rsidR="00F41361" w:rsidRDefault="00F41361" w:rsidP="00F41361">
      <w:pPr>
        <w:tabs>
          <w:tab w:val="left" w:pos="3544"/>
        </w:tabs>
        <w:spacing w:line="276" w:lineRule="auto"/>
        <w:jc w:val="both"/>
        <w:rPr>
          <w:rFonts w:cstheme="minorHAnsi"/>
          <w:sz w:val="20"/>
          <w:szCs w:val="20"/>
        </w:rPr>
      </w:pPr>
    </w:p>
    <w:sectPr w:rsidR="00F41361">
      <w:headerReference w:type="default" r:id="rId20"/>
      <w:footerReference w:type="default" r:id="rId21"/>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66" w:rsidRDefault="00102E66">
      <w:pPr>
        <w:spacing w:after="0" w:line="240" w:lineRule="auto"/>
      </w:pPr>
      <w:r>
        <w:separator/>
      </w:r>
    </w:p>
  </w:endnote>
  <w:endnote w:type="continuationSeparator" w:id="0">
    <w:p w:rsidR="00102E66" w:rsidRDefault="0010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102E66" w:rsidRDefault="00102E66">
        <w:pPr>
          <w:pStyle w:val="Stopka"/>
        </w:pPr>
        <w:r>
          <w:tab/>
        </w:r>
        <w:r>
          <w:tab/>
          <w:t xml:space="preserve">Strona </w:t>
        </w:r>
        <w:r>
          <w:fldChar w:fldCharType="begin"/>
        </w:r>
        <w:r>
          <w:instrText>PAGE</w:instrText>
        </w:r>
        <w:r>
          <w:fldChar w:fldCharType="separate"/>
        </w:r>
        <w:r w:rsidR="00161F32">
          <w:rPr>
            <w:noProof/>
          </w:rPr>
          <w:t>19</w:t>
        </w:r>
        <w:r>
          <w:fldChar w:fldCharType="end"/>
        </w:r>
        <w:r>
          <w:t xml:space="preserve"> z </w:t>
        </w:r>
        <w:r>
          <w:fldChar w:fldCharType="begin"/>
        </w:r>
        <w:r>
          <w:instrText>NUMPAGES</w:instrText>
        </w:r>
        <w:r>
          <w:fldChar w:fldCharType="separate"/>
        </w:r>
        <w:r w:rsidR="00161F32">
          <w:rPr>
            <w:noProof/>
          </w:rPr>
          <w:t>19</w:t>
        </w:r>
        <w:r>
          <w:fldChar w:fldCharType="end"/>
        </w:r>
      </w:p>
      <w:p w:rsidR="00102E66" w:rsidRDefault="008845D3">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66" w:rsidRDefault="00102E66">
      <w:pPr>
        <w:spacing w:after="0" w:line="240" w:lineRule="auto"/>
      </w:pPr>
      <w:r>
        <w:separator/>
      </w:r>
    </w:p>
  </w:footnote>
  <w:footnote w:type="continuationSeparator" w:id="0">
    <w:p w:rsidR="00102E66" w:rsidRDefault="00102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66" w:rsidRPr="00915863" w:rsidRDefault="00102E66">
    <w:pPr>
      <w:pStyle w:val="Gwka"/>
      <w:jc w:val="right"/>
      <w:rPr>
        <w:rFonts w:cstheme="minorHAnsi"/>
      </w:rPr>
    </w:pPr>
    <w:r w:rsidRPr="00915863">
      <w:rPr>
        <w:rFonts w:cstheme="minorHAnsi"/>
        <w:sz w:val="20"/>
        <w:szCs w:val="20"/>
      </w:rPr>
      <w:t>NR SPRAWY: SPL/</w:t>
    </w:r>
    <w:r w:rsidR="00036197">
      <w:rPr>
        <w:rFonts w:cstheme="minorHAnsi"/>
        <w:sz w:val="20"/>
        <w:szCs w:val="20"/>
      </w:rPr>
      <w:t>24</w:t>
    </w:r>
    <w:r w:rsidRPr="00915863">
      <w:rPr>
        <w:rFonts w:cstheme="minorHAnsi"/>
        <w:sz w:val="20"/>
        <w:szCs w:val="20"/>
      </w:rPr>
      <w:t>/PN/202</w:t>
    </w:r>
    <w:r>
      <w:rPr>
        <w:rFonts w:cstheme="minorHAnsi"/>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07579"/>
    <w:multiLevelType w:val="multilevel"/>
    <w:tmpl w:val="F620CC0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E76F28"/>
    <w:multiLevelType w:val="multilevel"/>
    <w:tmpl w:val="BDA61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C2A5D29"/>
    <w:multiLevelType w:val="hybridMultilevel"/>
    <w:tmpl w:val="94F04B48"/>
    <w:lvl w:ilvl="0" w:tplc="9CDAF8FC">
      <w:start w:val="1"/>
      <w:numFmt w:val="decimal"/>
      <w:lvlText w:val="%1."/>
      <w:lvlJc w:val="left"/>
      <w:pPr>
        <w:tabs>
          <w:tab w:val="num" w:pos="2346"/>
        </w:tabs>
        <w:ind w:left="2346" w:hanging="360"/>
      </w:pPr>
      <w:rPr>
        <w:rFonts w:ascii="Calibri" w:hAnsi="Calibri" w:cs="Times New Roman" w:hint="default"/>
        <w:b w:val="0"/>
        <w:i w:val="0"/>
        <w:sz w:val="24"/>
      </w:rPr>
    </w:lvl>
    <w:lvl w:ilvl="1" w:tplc="04150011">
      <w:start w:val="1"/>
      <w:numFmt w:val="decimal"/>
      <w:lvlText w:val="%2)"/>
      <w:lvlJc w:val="left"/>
      <w:pPr>
        <w:tabs>
          <w:tab w:val="num" w:pos="2989"/>
        </w:tabs>
        <w:ind w:left="2989" w:hanging="283"/>
      </w:p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lvl>
    <w:lvl w:ilvl="6" w:tplc="59BA9E8C">
      <w:start w:val="1"/>
      <w:numFmt w:val="decimal"/>
      <w:lvlText w:val="%7."/>
      <w:lvlJc w:val="left"/>
      <w:pPr>
        <w:tabs>
          <w:tab w:val="num" w:pos="6666"/>
        </w:tabs>
        <w:ind w:left="6666" w:hanging="360"/>
      </w:pPr>
      <w:rPr>
        <w:b w:val="0"/>
        <w:i w:val="0"/>
      </w:rPr>
    </w:lvl>
    <w:lvl w:ilvl="7" w:tplc="04150019">
      <w:start w:val="1"/>
      <w:numFmt w:val="lowerLetter"/>
      <w:lvlText w:val="%8."/>
      <w:lvlJc w:val="left"/>
      <w:pPr>
        <w:tabs>
          <w:tab w:val="num" w:pos="7386"/>
        </w:tabs>
        <w:ind w:left="7386" w:hanging="360"/>
      </w:pPr>
    </w:lvl>
    <w:lvl w:ilvl="8" w:tplc="0415001B">
      <w:start w:val="1"/>
      <w:numFmt w:val="lowerRoman"/>
      <w:lvlText w:val="%9."/>
      <w:lvlJc w:val="right"/>
      <w:pPr>
        <w:tabs>
          <w:tab w:val="num" w:pos="8106"/>
        </w:tabs>
        <w:ind w:left="8106" w:hanging="180"/>
      </w:pPr>
    </w:lvl>
  </w:abstractNum>
  <w:abstractNum w:abstractNumId="7">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0C0538"/>
    <w:multiLevelType w:val="multilevel"/>
    <w:tmpl w:val="C45C83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8B037C"/>
    <w:multiLevelType w:val="hybridMultilevel"/>
    <w:tmpl w:val="29FAE6FC"/>
    <w:lvl w:ilvl="0" w:tplc="7BE0A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663229"/>
    <w:multiLevelType w:val="hybridMultilevel"/>
    <w:tmpl w:val="82322A40"/>
    <w:lvl w:ilvl="0" w:tplc="A42CCD3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1C5924"/>
    <w:multiLevelType w:val="multilevel"/>
    <w:tmpl w:val="B532B84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4">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2660F6"/>
    <w:multiLevelType w:val="multilevel"/>
    <w:tmpl w:val="0B948F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1275765"/>
    <w:multiLevelType w:val="multilevel"/>
    <w:tmpl w:val="38E642E6"/>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D6E5861"/>
    <w:multiLevelType w:val="multilevel"/>
    <w:tmpl w:val="7B5E52B0"/>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4C604F"/>
    <w:multiLevelType w:val="multilevel"/>
    <w:tmpl w:val="CB32FC4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A11324E"/>
    <w:multiLevelType w:val="multilevel"/>
    <w:tmpl w:val="4D82E22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AF0410"/>
    <w:multiLevelType w:val="multilevel"/>
    <w:tmpl w:val="071AB2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4A3DD8"/>
    <w:multiLevelType w:val="multilevel"/>
    <w:tmpl w:val="8656F7F6"/>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5507B8E"/>
    <w:multiLevelType w:val="multilevel"/>
    <w:tmpl w:val="9CD62B84"/>
    <w:lvl w:ilvl="0">
      <w:start w:val="1"/>
      <w:numFmt w:val="lowerLetter"/>
      <w:lvlText w:val="%1)"/>
      <w:lvlJc w:val="left"/>
      <w:pPr>
        <w:ind w:left="1222" w:hanging="360"/>
      </w:pPr>
      <w:rPr>
        <w:rFonts w:ascii="Times New Roman" w:hAnsi="Times New Roman"/>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6">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727205"/>
    <w:multiLevelType w:val="multilevel"/>
    <w:tmpl w:val="ECF06280"/>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64649D"/>
    <w:multiLevelType w:val="multilevel"/>
    <w:tmpl w:val="4F528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7"/>
  </w:num>
  <w:num w:numId="3">
    <w:abstractNumId w:val="16"/>
  </w:num>
  <w:num w:numId="4">
    <w:abstractNumId w:val="29"/>
  </w:num>
  <w:num w:numId="5">
    <w:abstractNumId w:val="36"/>
  </w:num>
  <w:num w:numId="6">
    <w:abstractNumId w:val="24"/>
  </w:num>
  <w:num w:numId="7">
    <w:abstractNumId w:val="5"/>
  </w:num>
  <w:num w:numId="8">
    <w:abstractNumId w:val="8"/>
  </w:num>
  <w:num w:numId="9">
    <w:abstractNumId w:val="39"/>
  </w:num>
  <w:num w:numId="10">
    <w:abstractNumId w:val="31"/>
  </w:num>
  <w:num w:numId="11">
    <w:abstractNumId w:val="38"/>
  </w:num>
  <w:num w:numId="12">
    <w:abstractNumId w:val="14"/>
  </w:num>
  <w:num w:numId="13">
    <w:abstractNumId w:val="15"/>
  </w:num>
  <w:num w:numId="14">
    <w:abstractNumId w:val="28"/>
  </w:num>
  <w:num w:numId="15">
    <w:abstractNumId w:val="1"/>
  </w:num>
  <w:num w:numId="16">
    <w:abstractNumId w:val="2"/>
  </w:num>
  <w:num w:numId="17">
    <w:abstractNumId w:val="35"/>
  </w:num>
  <w:num w:numId="18">
    <w:abstractNumId w:val="37"/>
  </w:num>
  <w:num w:numId="19">
    <w:abstractNumId w:val="12"/>
  </w:num>
  <w:num w:numId="20">
    <w:abstractNumId w:val="23"/>
  </w:num>
  <w:num w:numId="21">
    <w:abstractNumId w:val="33"/>
  </w:num>
  <w:num w:numId="22">
    <w:abstractNumId w:val="26"/>
  </w:num>
  <w:num w:numId="23">
    <w:abstractNumId w:val="34"/>
  </w:num>
  <w:num w:numId="24">
    <w:abstractNumId w:val="7"/>
  </w:num>
  <w:num w:numId="25">
    <w:abstractNumId w:val="41"/>
  </w:num>
  <w:num w:numId="26">
    <w:abstractNumId w:val="25"/>
  </w:num>
  <w:num w:numId="27">
    <w:abstractNumId w:val="20"/>
  </w:num>
  <w:num w:numId="28">
    <w:abstractNumId w:val="32"/>
  </w:num>
  <w:num w:numId="29">
    <w:abstractNumId w:val="40"/>
  </w:num>
  <w:num w:numId="30">
    <w:abstractNumId w:val="0"/>
  </w:num>
  <w:num w:numId="31">
    <w:abstractNumId w:val="17"/>
  </w:num>
  <w:num w:numId="32">
    <w:abstractNumId w:val="30"/>
  </w:num>
  <w:num w:numId="33">
    <w:abstractNumId w:val="18"/>
  </w:num>
  <w:num w:numId="34">
    <w:abstractNumId w:val="2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23218"/>
    <w:rsid w:val="00036197"/>
    <w:rsid w:val="0003789A"/>
    <w:rsid w:val="00041AA3"/>
    <w:rsid w:val="000423D9"/>
    <w:rsid w:val="000443D7"/>
    <w:rsid w:val="000574AC"/>
    <w:rsid w:val="0005787D"/>
    <w:rsid w:val="00064ED0"/>
    <w:rsid w:val="000805E7"/>
    <w:rsid w:val="00081783"/>
    <w:rsid w:val="00084D58"/>
    <w:rsid w:val="000970E1"/>
    <w:rsid w:val="000A22C1"/>
    <w:rsid w:val="000A55B2"/>
    <w:rsid w:val="000C2DAE"/>
    <w:rsid w:val="000C59CE"/>
    <w:rsid w:val="000E6ADA"/>
    <w:rsid w:val="000F1993"/>
    <w:rsid w:val="000F2303"/>
    <w:rsid w:val="00102E66"/>
    <w:rsid w:val="001354AE"/>
    <w:rsid w:val="00161F32"/>
    <w:rsid w:val="001637D3"/>
    <w:rsid w:val="001710DF"/>
    <w:rsid w:val="0019370B"/>
    <w:rsid w:val="001B0190"/>
    <w:rsid w:val="001F2B4F"/>
    <w:rsid w:val="002021D2"/>
    <w:rsid w:val="00211407"/>
    <w:rsid w:val="00214DD6"/>
    <w:rsid w:val="0021589F"/>
    <w:rsid w:val="00246969"/>
    <w:rsid w:val="00252E95"/>
    <w:rsid w:val="002A6B8D"/>
    <w:rsid w:val="002B33D0"/>
    <w:rsid w:val="002C06C8"/>
    <w:rsid w:val="00312B29"/>
    <w:rsid w:val="003133E0"/>
    <w:rsid w:val="003165F1"/>
    <w:rsid w:val="00355D21"/>
    <w:rsid w:val="00381F76"/>
    <w:rsid w:val="00386736"/>
    <w:rsid w:val="00394462"/>
    <w:rsid w:val="003B226F"/>
    <w:rsid w:val="003E4B28"/>
    <w:rsid w:val="00412979"/>
    <w:rsid w:val="00416668"/>
    <w:rsid w:val="0043014B"/>
    <w:rsid w:val="00450CB5"/>
    <w:rsid w:val="004621D2"/>
    <w:rsid w:val="00463A7C"/>
    <w:rsid w:val="00476754"/>
    <w:rsid w:val="00492AAE"/>
    <w:rsid w:val="004D3159"/>
    <w:rsid w:val="004E4D7A"/>
    <w:rsid w:val="0052266D"/>
    <w:rsid w:val="0056762A"/>
    <w:rsid w:val="00581F20"/>
    <w:rsid w:val="00590487"/>
    <w:rsid w:val="005941E5"/>
    <w:rsid w:val="005A05C1"/>
    <w:rsid w:val="005B5E99"/>
    <w:rsid w:val="005C2283"/>
    <w:rsid w:val="005D7D13"/>
    <w:rsid w:val="005E7AF3"/>
    <w:rsid w:val="00653F4D"/>
    <w:rsid w:val="00665EDC"/>
    <w:rsid w:val="0069402B"/>
    <w:rsid w:val="006A009C"/>
    <w:rsid w:val="0074583B"/>
    <w:rsid w:val="007522D3"/>
    <w:rsid w:val="00765AA1"/>
    <w:rsid w:val="00775FAE"/>
    <w:rsid w:val="00785119"/>
    <w:rsid w:val="007B6232"/>
    <w:rsid w:val="007C6A62"/>
    <w:rsid w:val="007D33C3"/>
    <w:rsid w:val="00831DDE"/>
    <w:rsid w:val="008365BA"/>
    <w:rsid w:val="008602C0"/>
    <w:rsid w:val="00864B65"/>
    <w:rsid w:val="00880FAE"/>
    <w:rsid w:val="008954A6"/>
    <w:rsid w:val="008A1B3D"/>
    <w:rsid w:val="008C204A"/>
    <w:rsid w:val="00915863"/>
    <w:rsid w:val="009811AB"/>
    <w:rsid w:val="009848A6"/>
    <w:rsid w:val="00996677"/>
    <w:rsid w:val="00997D5D"/>
    <w:rsid w:val="009A413F"/>
    <w:rsid w:val="009B289C"/>
    <w:rsid w:val="009F20F8"/>
    <w:rsid w:val="009F6F01"/>
    <w:rsid w:val="00A21990"/>
    <w:rsid w:val="00A26BDA"/>
    <w:rsid w:val="00A272A2"/>
    <w:rsid w:val="00A87B0D"/>
    <w:rsid w:val="00AA3A85"/>
    <w:rsid w:val="00AB286B"/>
    <w:rsid w:val="00AD48F8"/>
    <w:rsid w:val="00B60A12"/>
    <w:rsid w:val="00B63B7E"/>
    <w:rsid w:val="00B72896"/>
    <w:rsid w:val="00B77C06"/>
    <w:rsid w:val="00B84885"/>
    <w:rsid w:val="00B90E56"/>
    <w:rsid w:val="00BB3FFB"/>
    <w:rsid w:val="00BC7390"/>
    <w:rsid w:val="00BC77E9"/>
    <w:rsid w:val="00C01F7D"/>
    <w:rsid w:val="00C14329"/>
    <w:rsid w:val="00C46BEA"/>
    <w:rsid w:val="00C46C05"/>
    <w:rsid w:val="00CA20C6"/>
    <w:rsid w:val="00CE121F"/>
    <w:rsid w:val="00D61770"/>
    <w:rsid w:val="00D6220C"/>
    <w:rsid w:val="00D84193"/>
    <w:rsid w:val="00D97432"/>
    <w:rsid w:val="00D97843"/>
    <w:rsid w:val="00DB2D58"/>
    <w:rsid w:val="00DB75AD"/>
    <w:rsid w:val="00DE2660"/>
    <w:rsid w:val="00DE77CF"/>
    <w:rsid w:val="00E033A0"/>
    <w:rsid w:val="00E5472A"/>
    <w:rsid w:val="00E62F59"/>
    <w:rsid w:val="00E8190E"/>
    <w:rsid w:val="00E85C09"/>
    <w:rsid w:val="00E93323"/>
    <w:rsid w:val="00EB4EA6"/>
    <w:rsid w:val="00ED7CD3"/>
    <w:rsid w:val="00EE4901"/>
    <w:rsid w:val="00F234C9"/>
    <w:rsid w:val="00F30794"/>
    <w:rsid w:val="00F40186"/>
    <w:rsid w:val="00F41361"/>
    <w:rsid w:val="00F430CC"/>
    <w:rsid w:val="00F45AEF"/>
    <w:rsid w:val="00F56DA5"/>
    <w:rsid w:val="00F80AB4"/>
    <w:rsid w:val="00FC20A8"/>
    <w:rsid w:val="00FC62E9"/>
    <w:rsid w:val="00FD6AE6"/>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yperlink" Target="mailto:a.sadowska@spl.p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pl/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23" Type="http://schemas.openxmlformats.org/officeDocument/2006/relationships/theme" Target="theme/theme1.xml"/><Relationship Id="rId10" Type="http://schemas.openxmlformats.org/officeDocument/2006/relationships/hyperlink" Target="mailto:a.sadowska@spl.pl" TargetMode="External"/><Relationship Id="rId19" Type="http://schemas.openxmlformats.org/officeDocument/2006/relationships/hyperlink" Target="mailto:iod@spl.pl" TargetMode="Externa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6928</Words>
  <Characters>41573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2</cp:revision>
  <cp:lastPrinted>2024-09-13T05:53:00Z</cp:lastPrinted>
  <dcterms:created xsi:type="dcterms:W3CDTF">2024-09-13T11:07:00Z</dcterms:created>
  <dcterms:modified xsi:type="dcterms:W3CDTF">2024-09-13T11:07:00Z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