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990FBE" w:rsidRPr="00AD4660">
        <w:rPr>
          <w:rFonts w:ascii="Times New Roman" w:eastAsia="Times New Roman" w:hAnsi="Times New Roman" w:cs="Times New Roman"/>
          <w:b/>
          <w:lang w:eastAsia="pl-PL"/>
        </w:rPr>
        <w:t>Ścieżka przyrodnicza przy południowej stronie zbiornika wodnego na działce ewid. nr 4/1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990FBE">
        <w:rPr>
          <w:rFonts w:ascii="Times New Roman" w:eastAsia="Times New Roman" w:hAnsi="Times New Roman" w:cs="Times New Roman"/>
          <w:sz w:val="24"/>
          <w:szCs w:val="24"/>
          <w:lang w:eastAsia="pl-PL"/>
        </w:rPr>
        <w:t>3</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00990FBE">
        <w:rPr>
          <w:rFonts w:ascii="Times New Roman" w:eastAsia="Times New Roman" w:hAnsi="Times New Roman" w:cs="Times New Roman"/>
          <w:b/>
          <w:sz w:val="24"/>
          <w:szCs w:val="24"/>
          <w:lang w:eastAsia="pl-PL"/>
        </w:rPr>
        <w:t>15 dni kalendarzowych</w:t>
      </w:r>
      <w:r w:rsidR="000F4F7B" w:rsidRPr="000B0FE7">
        <w:rPr>
          <w:rFonts w:ascii="Times New Roman" w:eastAsia="Times New Roman" w:hAnsi="Times New Roman" w:cs="Times New Roman"/>
          <w:b/>
          <w:sz w:val="24"/>
          <w:szCs w:val="24"/>
          <w:lang w:eastAsia="pl-PL"/>
        </w:rPr>
        <w:t xml:space="preserve">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w:t>
      </w:r>
      <w:r w:rsidR="00990FBE">
        <w:rPr>
          <w:rFonts w:ascii="Times New Roman" w:eastAsia="Times New Roman" w:hAnsi="Times New Roman" w:cs="Times New Roman"/>
          <w:sz w:val="24"/>
          <w:szCs w:val="24"/>
          <w:lang w:eastAsia="pl-PL"/>
        </w:rPr>
        <w:t>kołem przekazania terenu budowy</w:t>
      </w:r>
      <w:r w:rsidR="00C723CA">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Od dnia przekazania terenu robót Wykonawca odpowiada za wszelkie szkody powstałe w związku z realizacją prac będących przedmiotem niniejszej umowy lub też inną </w:t>
      </w:r>
      <w:r w:rsidRPr="00D7124C">
        <w:rPr>
          <w:rFonts w:ascii="Times New Roman" w:eastAsia="Times New Roman" w:hAnsi="Times New Roman" w:cs="Times New Roman"/>
          <w:sz w:val="24"/>
          <w:szCs w:val="24"/>
          <w:lang w:eastAsia="pl-PL"/>
        </w:rPr>
        <w:lastRenderedPageBreak/>
        <w:t>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Pr>
          <w:rFonts w:ascii="Times New Roman" w:eastAsia="Times New Roman" w:hAnsi="Times New Roman" w:cs="Times New Roman"/>
          <w:sz w:val="24"/>
          <w:szCs w:val="24"/>
          <w:lang w:eastAsia="pl-PL"/>
        </w:rPr>
        <w:t>wynagrodzenie kosztorysowe, wynikające z zakładanego przedmiaru robót. Ostateczna wartość wynagrodzenia określona zostanie na podstawie kosztorysu powykonawczego, potwierdzonego przez inspektora nadzoru inwestorskiego bądź przedstawicieli Zamawiającego</w:t>
      </w:r>
      <w:r w:rsidR="00F961F3" w:rsidRPr="00D7124C">
        <w:rPr>
          <w:rFonts w:ascii="Times New Roman" w:eastAsia="Times New Roman" w:hAnsi="Times New Roman" w:cs="Times New Roman"/>
          <w:sz w:val="24"/>
          <w:szCs w:val="24"/>
          <w:lang w:eastAsia="pl-PL"/>
        </w:rPr>
        <w:t>.</w:t>
      </w:r>
    </w:p>
    <w:p w:rsidR="00FF0A2B"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Pr="00D7124C">
        <w:rPr>
          <w:rFonts w:ascii="Times New Roman" w:eastAsia="Times New Roman" w:hAnsi="Times New Roman" w:cs="Times New Roman"/>
          <w:sz w:val="24"/>
          <w:szCs w:val="24"/>
          <w:lang w:eastAsia="pl-PL"/>
        </w:rPr>
        <w:t xml:space="preserve">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Pr>
          <w:rFonts w:ascii="Times New Roman" w:eastAsia="Times New Roman" w:hAnsi="Times New Roman" w:cs="Times New Roman"/>
          <w:sz w:val="24"/>
          <w:szCs w:val="24"/>
          <w:lang w:eastAsia="pl-PL"/>
        </w:rPr>
        <w:t>gólności kalkulacji cen jednostkowych.</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FF0A2B">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FF0A2B">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990FBE" w:rsidRDefault="00F961F3" w:rsidP="00990FB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C723CA">
        <w:rPr>
          <w:rFonts w:ascii="Times New Roman" w:eastAsia="Times New Roman" w:hAnsi="Times New Roman" w:cs="Times New Roman"/>
          <w:sz w:val="24"/>
          <w:szCs w:val="24"/>
          <w:lang w:eastAsia="pl-PL"/>
        </w:rPr>
        <w:t>będzie</w:t>
      </w:r>
      <w:r w:rsidR="005856F0" w:rsidRPr="00C723CA">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990FBE">
        <w:rPr>
          <w:rFonts w:ascii="Times New Roman" w:hAnsi="Times New Roman"/>
          <w:color w:val="000000"/>
        </w:rPr>
        <w:t>dwó</w:t>
      </w:r>
      <w:r w:rsidR="00B95AD1">
        <w:rPr>
          <w:rFonts w:ascii="Times New Roman" w:hAnsi="Times New Roman"/>
          <w:color w:val="000000"/>
        </w:rPr>
        <w:t>c</w:t>
      </w:r>
      <w:r w:rsidR="005856F0">
        <w:rPr>
          <w:rFonts w:ascii="Times New Roman" w:hAnsi="Times New Roman"/>
          <w:color w:val="000000"/>
        </w:rPr>
        <w:t>h płatnościach</w:t>
      </w:r>
      <w:r w:rsidR="0021318D">
        <w:rPr>
          <w:rFonts w:ascii="Times New Roman" w:hAnsi="Times New Roman"/>
          <w:color w:val="000000"/>
        </w:rPr>
        <w:t xml:space="preserve"> po zrealizowaniu kolejnych etapów przedsięwzięcia objętego umową</w:t>
      </w:r>
      <w:r w:rsidR="005856F0">
        <w:rPr>
          <w:rFonts w:ascii="Times New Roman" w:hAnsi="Times New Roman"/>
          <w:color w:val="000000"/>
        </w:rPr>
        <w:t>,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D54A5C">
        <w:rPr>
          <w:rFonts w:ascii="Times New Roman" w:hAnsi="Times New Roman"/>
          <w:color w:val="000000"/>
        </w:rPr>
        <w:t xml:space="preserve">ępujące: Wykonawca wystawia </w:t>
      </w:r>
      <w:r w:rsidR="00990FBE">
        <w:rPr>
          <w:rFonts w:ascii="Times New Roman" w:hAnsi="Times New Roman"/>
          <w:color w:val="000000"/>
        </w:rPr>
        <w:t>jedną fakturę częściową</w:t>
      </w:r>
      <w:r w:rsidR="008F65CE">
        <w:rPr>
          <w:rFonts w:ascii="Times New Roman" w:hAnsi="Times New Roman"/>
          <w:color w:val="000000"/>
        </w:rPr>
        <w:t xml:space="preserve"> po zrealizowaniu </w:t>
      </w:r>
      <w:r w:rsidR="00990FBE">
        <w:rPr>
          <w:rFonts w:ascii="Times New Roman" w:hAnsi="Times New Roman"/>
          <w:color w:val="000000"/>
        </w:rPr>
        <w:t>około 5</w:t>
      </w:r>
      <w:r w:rsidR="008F65CE">
        <w:rPr>
          <w:rFonts w:ascii="Times New Roman" w:hAnsi="Times New Roman"/>
          <w:color w:val="000000"/>
        </w:rPr>
        <w:t>0%</w:t>
      </w:r>
      <w:r w:rsidR="00990FBE">
        <w:rPr>
          <w:rFonts w:ascii="Times New Roman" w:hAnsi="Times New Roman"/>
          <w:color w:val="000000"/>
        </w:rPr>
        <w:t xml:space="preserve"> zakresu po dokonaniu częściowego odbioru</w:t>
      </w:r>
      <w:r w:rsidR="00384318" w:rsidRPr="00990FBE">
        <w:rPr>
          <w:rFonts w:ascii="Times New Roman" w:hAnsi="Times New Roman"/>
          <w:color w:val="000000"/>
        </w:rPr>
        <w:t xml:space="preserve"> prac a następnie fakturę końcową po wykonaniu i odbiorze całości przedmiotu Umowy</w:t>
      </w:r>
      <w:r w:rsidR="004457AE" w:rsidRPr="00990FBE">
        <w:rPr>
          <w:rFonts w:ascii="Times New Roman" w:hAnsi="Times New Roman"/>
          <w:color w:val="000000"/>
        </w:rPr>
        <w:t xml:space="preserve"> (protokołem końcowego odbioru)</w:t>
      </w:r>
      <w:r w:rsidR="00B95AD1" w:rsidRPr="00990FBE">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split payment). Zapłatę w tym systemie uznaje się za dokonanie płatności w terminie ustalonym w </w:t>
      </w:r>
      <w:r w:rsidR="00117EF7" w:rsidRPr="00F961F3">
        <w:rPr>
          <w:rFonts w:ascii="Times New Roman" w:eastAsia="Times New Roman" w:hAnsi="Times New Roman" w:cs="Times New Roman"/>
          <w:sz w:val="24"/>
          <w:szCs w:val="24"/>
          <w:lang w:eastAsia="pl-PL"/>
        </w:rPr>
        <w:t>§4</w:t>
      </w:r>
      <w:r w:rsidR="00117EF7">
        <w:rPr>
          <w:rFonts w:ascii="Times New Roman" w:eastAsia="Times New Roman" w:hAnsi="Times New Roman" w:cs="Times New Roman"/>
          <w:sz w:val="24"/>
          <w:szCs w:val="24"/>
          <w:lang w:eastAsia="pl-PL"/>
        </w:rPr>
        <w:t xml:space="preserve"> ust. 10 </w:t>
      </w:r>
      <w:r w:rsidRPr="00382B5C">
        <w:rPr>
          <w:rFonts w:ascii="Times New Roman" w:eastAsia="Times New Roman" w:hAnsi="Times New Roman" w:cs="Times New Roman"/>
          <w:sz w:val="24"/>
          <w:szCs w:val="24"/>
          <w:lang w:eastAsia="pl-PL"/>
        </w:rPr>
        <w:t>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w:t>
      </w:r>
      <w:r w:rsidRPr="004B2AF5">
        <w:rPr>
          <w:rFonts w:ascii="Times New Roman" w:hAnsi="Times New Roman" w:cs="Times New Roman"/>
          <w:sz w:val="24"/>
          <w:szCs w:val="24"/>
        </w:rPr>
        <w:lastRenderedPageBreak/>
        <w:t xml:space="preserve">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dokonanie zapłaty Wykonawcy odpowiedniego wynagrodzenia za wykonane roboty, na zasadach określonych w § </w:t>
      </w:r>
      <w:r w:rsidR="00FF0A2B">
        <w:rPr>
          <w:rFonts w:ascii="Times New Roman" w:eastAsia="Times New Roman" w:hAnsi="Times New Roman" w:cs="Times New Roman"/>
          <w:sz w:val="24"/>
          <w:szCs w:val="24"/>
          <w:lang w:eastAsia="pl-PL"/>
        </w:rPr>
        <w:t>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przechowywania na terenie budowy i udostępniania Zamawiającemu, Inspektorowi nadzoru inwestorskiego i innym uprawnionym jednostkom administracyjnym </w:t>
      </w:r>
      <w:r w:rsidRPr="000A76A6">
        <w:rPr>
          <w:rFonts w:ascii="Times New Roman" w:eastAsia="Times New Roman" w:hAnsi="Times New Roman" w:cs="Times New Roman"/>
          <w:sz w:val="24"/>
          <w:szCs w:val="24"/>
          <w:lang w:eastAsia="pl-PL"/>
        </w:rPr>
        <w:lastRenderedPageBreak/>
        <w:t>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 xml:space="preserve">w razie potrzeby w siedzibie Zamawiającego, przy udziale osób wyznaczonych do kierowania robotami budowlanymi reprezentujących Wykonawcę. </w:t>
      </w:r>
      <w:r w:rsidRPr="0054292E">
        <w:rPr>
          <w:rFonts w:ascii="Times New Roman" w:eastAsia="Times New Roman" w:hAnsi="Times New Roman" w:cs="Times New Roman"/>
          <w:sz w:val="24"/>
          <w:szCs w:val="24"/>
          <w:lang w:eastAsia="pl-PL"/>
        </w:rPr>
        <w:lastRenderedPageBreak/>
        <w:t>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w:t>
      </w:r>
      <w:r w:rsidRPr="00D94CA2">
        <w:rPr>
          <w:rFonts w:ascii="Times New Roman" w:eastAsia="Times New Roman" w:hAnsi="Times New Roman" w:cs="Times New Roman"/>
          <w:sz w:val="24"/>
          <w:szCs w:val="24"/>
          <w:lang w:eastAsia="pl-PL"/>
        </w:rPr>
        <w:lastRenderedPageBreak/>
        <w:t>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656CE9">
        <w:rPr>
          <w:rFonts w:ascii="Times New Roman" w:eastAsia="Times New Roman" w:hAnsi="Times New Roman" w:cs="Times New Roman"/>
          <w:sz w:val="24"/>
          <w:szCs w:val="24"/>
          <w:lang w:eastAsia="pl-PL"/>
        </w:rPr>
        <w:t>mazowieckie</w:t>
      </w:r>
      <w:r w:rsidRPr="00D94CA2">
        <w:rPr>
          <w:rFonts w:ascii="Times New Roman" w:eastAsia="Times New Roman" w:hAnsi="Times New Roman" w:cs="Times New Roman"/>
          <w:sz w:val="24"/>
          <w:szCs w:val="24"/>
          <w:lang w:eastAsia="pl-PL"/>
        </w:rPr>
        <w:t xml:space="preserve">go z ostatniego kwartału poprzedzającego powyższe rozliczenie. Kosztorys </w:t>
      </w:r>
      <w:r w:rsidRPr="00D94CA2">
        <w:rPr>
          <w:rFonts w:ascii="Times New Roman" w:eastAsia="Times New Roman" w:hAnsi="Times New Roman" w:cs="Times New Roman"/>
          <w:sz w:val="24"/>
          <w:szCs w:val="24"/>
          <w:lang w:eastAsia="pl-PL"/>
        </w:rPr>
        <w:lastRenderedPageBreak/>
        <w:t>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A220D">
        <w:rPr>
          <w:rFonts w:ascii="Times New Roman" w:eastAsia="Times New Roman" w:hAnsi="Times New Roman" w:cs="Times New Roman"/>
          <w:b/>
          <w:sz w:val="24"/>
          <w:szCs w:val="24"/>
          <w:lang w:eastAsia="pl-PL"/>
        </w:rPr>
        <w:t xml:space="preserve"> 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t>
      </w:r>
      <w:r w:rsidR="009A220D">
        <w:rPr>
          <w:rFonts w:ascii="Times New Roman" w:eastAsia="Times New Roman" w:hAnsi="Times New Roman" w:cs="Times New Roman"/>
          <w:sz w:val="24"/>
          <w:szCs w:val="24"/>
          <w:lang w:eastAsia="pl-PL"/>
        </w:rPr>
        <w:t>wo-finansowym – w wysokości 0,5</w:t>
      </w:r>
      <w:r w:rsidRPr="00060B7F">
        <w:rPr>
          <w:rFonts w:ascii="Times New Roman" w:eastAsia="Times New Roman" w:hAnsi="Times New Roman" w:cs="Times New Roman"/>
          <w:sz w:val="24"/>
          <w:szCs w:val="24"/>
          <w:lang w:eastAsia="pl-PL"/>
        </w:rPr>
        <w:t>% wynagrodzenia brutto, o którym mowa w §</w:t>
      </w:r>
      <w:r w:rsidR="009A220D">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sidR="009A220D">
        <w:rPr>
          <w:rFonts w:ascii="Times New Roman" w:eastAsia="Times New Roman" w:hAnsi="Times New Roman" w:cs="Times New Roman"/>
          <w:sz w:val="24"/>
          <w:szCs w:val="24"/>
          <w:lang w:eastAsia="pl-PL"/>
        </w:rPr>
        <w:t>zedmiotu umowy – w wysokości 0,5</w:t>
      </w:r>
      <w:r w:rsidRPr="00060B7F">
        <w:rPr>
          <w:rFonts w:ascii="Times New Roman" w:eastAsia="Times New Roman" w:hAnsi="Times New Roman" w:cs="Times New Roman"/>
          <w:sz w:val="24"/>
          <w:szCs w:val="24"/>
          <w:lang w:eastAsia="pl-PL"/>
        </w:rPr>
        <w:t>% wynagrodzenia brutto, o którym mowa w §</w:t>
      </w:r>
      <w:r w:rsidR="009A220D">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9A220D">
        <w:rPr>
          <w:rFonts w:ascii="Times New Roman" w:eastAsia="Times New Roman" w:hAnsi="Times New Roman" w:cs="Times New Roman"/>
          <w:sz w:val="24"/>
          <w:szCs w:val="24"/>
          <w:lang w:eastAsia="pl-PL"/>
        </w:rPr>
        <w:t>pogwarancyjnym, w wysokości 0,4</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w:t>
      </w:r>
      <w:r w:rsidR="009A220D">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w:t>
      </w:r>
      <w:r w:rsidR="009A220D">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xml:space="preserve">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 xml:space="preserve">odwykonawcom w wysokości </w:t>
      </w:r>
      <w:r w:rsidR="009A220D">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9A220D">
        <w:rPr>
          <w:rFonts w:ascii="Times New Roman" w:eastAsia="Times New Roman" w:hAnsi="Times New Roman" w:cs="Times New Roman"/>
          <w:sz w:val="24"/>
          <w:szCs w:val="24"/>
          <w:lang w:eastAsia="pl-PL"/>
        </w:rPr>
        <w:t>kości 1</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9A220D">
        <w:rPr>
          <w:rFonts w:ascii="Times New Roman" w:eastAsia="Times New Roman" w:hAnsi="Times New Roman" w:cs="Times New Roman"/>
          <w:sz w:val="24"/>
          <w:szCs w:val="24"/>
          <w:lang w:eastAsia="pl-PL"/>
        </w:rPr>
        <w:t>1</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 xml:space="preserve">przedmiotu </w:t>
      </w:r>
      <w:r w:rsidR="009A220D">
        <w:rPr>
          <w:rFonts w:ascii="Times New Roman" w:eastAsia="Times New Roman" w:hAnsi="Times New Roman" w:cs="Times New Roman"/>
          <w:sz w:val="24"/>
          <w:szCs w:val="24"/>
          <w:lang w:eastAsia="pl-PL"/>
        </w:rPr>
        <w:t>umowy w wysokości 0,5</w:t>
      </w:r>
      <w:r w:rsidRPr="006A2E81">
        <w:rPr>
          <w:rFonts w:ascii="Times New Roman" w:eastAsia="Times New Roman" w:hAnsi="Times New Roman" w:cs="Times New Roman"/>
          <w:sz w:val="24"/>
          <w:szCs w:val="24"/>
          <w:lang w:eastAsia="pl-PL"/>
        </w:rPr>
        <w:t>% wynagrod</w:t>
      </w:r>
      <w:r w:rsidR="009A220D">
        <w:rPr>
          <w:rFonts w:ascii="Times New Roman" w:eastAsia="Times New Roman" w:hAnsi="Times New Roman" w:cs="Times New Roman"/>
          <w:sz w:val="24"/>
          <w:szCs w:val="24"/>
          <w:lang w:eastAsia="pl-PL"/>
        </w:rPr>
        <w:t>zenia brutto, o którym mowa w §3</w:t>
      </w:r>
      <w:r w:rsidRPr="006A2E81">
        <w:rPr>
          <w:rFonts w:ascii="Times New Roman" w:eastAsia="Times New Roman" w:hAnsi="Times New Roman" w:cs="Times New Roman"/>
          <w:sz w:val="24"/>
          <w:szCs w:val="24"/>
          <w:lang w:eastAsia="pl-PL"/>
        </w:rPr>
        <w:t xml:space="preserve">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w:t>
      </w:r>
      <w:r w:rsidR="009A220D">
        <w:rPr>
          <w:rFonts w:ascii="Times New Roman" w:eastAsia="Times New Roman" w:hAnsi="Times New Roman" w:cs="Times New Roman"/>
          <w:sz w:val="24"/>
          <w:szCs w:val="24"/>
          <w:lang w:eastAsia="pl-PL"/>
        </w:rPr>
        <w:t>3</w:t>
      </w:r>
      <w:r w:rsidRPr="006A2E81">
        <w:rPr>
          <w:rFonts w:ascii="Times New Roman" w:eastAsia="Times New Roman" w:hAnsi="Times New Roman" w:cs="Times New Roman"/>
          <w:sz w:val="24"/>
          <w:szCs w:val="24"/>
          <w:lang w:eastAsia="pl-PL"/>
        </w:rPr>
        <w:t xml:space="preserve">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w:t>
      </w:r>
      <w:r w:rsidR="009A220D">
        <w:rPr>
          <w:rFonts w:ascii="Times New Roman" w:eastAsia="Times New Roman" w:hAnsi="Times New Roman" w:cs="Times New Roman"/>
          <w:sz w:val="24"/>
          <w:szCs w:val="24"/>
          <w:lang w:eastAsia="pl-PL"/>
        </w:rPr>
        <w:t>3</w:t>
      </w:r>
      <w:r w:rsidRPr="006A2E81">
        <w:rPr>
          <w:rFonts w:ascii="Times New Roman" w:eastAsia="Times New Roman" w:hAnsi="Times New Roman" w:cs="Times New Roman"/>
          <w:sz w:val="24"/>
          <w:szCs w:val="24"/>
          <w:lang w:eastAsia="pl-PL"/>
        </w:rPr>
        <w:t xml:space="preserve">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9A220D">
        <w:rPr>
          <w:rFonts w:ascii="Times New Roman" w:eastAsia="Times New Roman" w:hAnsi="Times New Roman" w:cs="Times New Roman"/>
          <w:sz w:val="24"/>
          <w:szCs w:val="24"/>
          <w:lang w:eastAsia="pl-PL"/>
        </w:rPr>
        <w:t>ce i nie kontynuuje ich przez 3</w:t>
      </w:r>
      <w:r w:rsidR="00730C1C">
        <w:rPr>
          <w:rFonts w:ascii="Times New Roman" w:eastAsia="Times New Roman" w:hAnsi="Times New Roman" w:cs="Times New Roman"/>
          <w:sz w:val="24"/>
          <w:szCs w:val="24"/>
          <w:lang w:eastAsia="pl-PL"/>
        </w:rPr>
        <w:t>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9A220D">
        <w:rPr>
          <w:rFonts w:ascii="Times New Roman" w:eastAsia="Times New Roman" w:hAnsi="Times New Roman" w:cs="Times New Roman"/>
          <w:sz w:val="24"/>
          <w:szCs w:val="24"/>
          <w:lang w:eastAsia="pl-PL"/>
        </w:rPr>
        <w:t>4</w:t>
      </w:r>
      <w:r w:rsidR="00730C1C">
        <w:rPr>
          <w:rFonts w:ascii="Times New Roman" w:eastAsia="Times New Roman" w:hAnsi="Times New Roman" w:cs="Times New Roman"/>
          <w:sz w:val="24"/>
          <w:szCs w:val="24"/>
          <w:lang w:eastAsia="pl-PL"/>
        </w:rPr>
        <w:t>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Pzp,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podlegania ubezpieczeniom społecznym lub ubezpieczeniu zdrowotnemu lub wysokości stawki składki na ubezpieczenie społeczne lub zdrowotne, jeżeli zmiany te będą </w:t>
      </w:r>
      <w:r w:rsidRPr="00716ACE">
        <w:rPr>
          <w:rFonts w:ascii="Times New Roman" w:eastAsia="ArialNarrow, 'Arial Unicode MS'" w:hAnsi="Times New Roman" w:cs="Times New Roman"/>
        </w:rPr>
        <w:lastRenderedPageBreak/>
        <w:t>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istotnych lub nieistotnych odstą</w:t>
      </w:r>
      <w:r w:rsidRPr="00716ACE">
        <w:rPr>
          <w:rFonts w:ascii="Times New Roman" w:eastAsia="Times New Roman" w:hAnsi="Times New Roman" w:cs="Times New Roman"/>
        </w:rPr>
        <w:t>pień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w:t>
      </w:r>
      <w:bookmarkStart w:id="0" w:name="_GoBack"/>
      <w:bookmarkEnd w:id="0"/>
      <w:r w:rsidRPr="00E45E9E">
        <w:rPr>
          <w:rFonts w:ascii="Times New Roman" w:eastAsia="Times New Roman" w:hAnsi="Times New Roman" w:cs="Times New Roman"/>
          <w:sz w:val="24"/>
          <w:szCs w:val="24"/>
          <w:lang w:eastAsia="pl-PL"/>
        </w:rPr>
        <w:t>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9A220D">
          <w:rPr>
            <w:noProof/>
          </w:rPr>
          <w:t>23</w:t>
        </w:r>
        <w:r>
          <w:fldChar w:fldCharType="end"/>
        </w:r>
      </w:p>
    </w:sdtContent>
  </w:sdt>
  <w:p w:rsidR="00990FBE" w:rsidRDefault="00990FBE" w:rsidP="00990FBE">
    <w:pPr>
      <w:pStyle w:val="Nagwek"/>
      <w:rPr>
        <w:noProof/>
        <w:sz w:val="24"/>
        <w:szCs w:val="32"/>
        <w:lang w:eastAsia="pl-PL"/>
      </w:rPr>
    </w:pPr>
    <w:r>
      <w:rPr>
        <w:noProof/>
        <w:lang w:eastAsia="pl-PL"/>
      </w:rPr>
      <w:drawing>
        <wp:anchor distT="0" distB="0" distL="114300" distR="114300" simplePos="0" relativeHeight="251661312" behindDoc="0" locked="0" layoutInCell="1" allowOverlap="1" wp14:anchorId="21920E91" wp14:editId="7B458559">
          <wp:simplePos x="0" y="0"/>
          <wp:positionH relativeFrom="column">
            <wp:posOffset>4224655</wp:posOffset>
          </wp:positionH>
          <wp:positionV relativeFrom="paragraph">
            <wp:posOffset>-135255</wp:posOffset>
          </wp:positionV>
          <wp:extent cx="1427480" cy="885825"/>
          <wp:effectExtent l="19050" t="0" r="127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427480" cy="885825"/>
                  </a:xfrm>
                  <a:prstGeom prst="rect">
                    <a:avLst/>
                  </a:prstGeom>
                  <a:noFill/>
                  <a:ln w="9525">
                    <a:noFill/>
                    <a:miter lim="800000"/>
                    <a:headEnd/>
                    <a:tailEnd/>
                  </a:ln>
                </pic:spPr>
              </pic:pic>
            </a:graphicData>
          </a:graphic>
        </wp:anchor>
      </w:drawing>
    </w:r>
    <w:r>
      <w:rPr>
        <w:noProof/>
        <w:lang w:eastAsia="pl-PL"/>
      </w:rPr>
      <w:drawing>
        <wp:anchor distT="12192" distB="17018" distL="114300" distR="121666" simplePos="0" relativeHeight="251660288" behindDoc="0" locked="0" layoutInCell="1" allowOverlap="1" wp14:anchorId="35199BC6" wp14:editId="3279B8E6">
          <wp:simplePos x="0" y="0"/>
          <wp:positionH relativeFrom="column">
            <wp:posOffset>2405380</wp:posOffset>
          </wp:positionH>
          <wp:positionV relativeFrom="paragraph">
            <wp:posOffset>17145</wp:posOffset>
          </wp:positionV>
          <wp:extent cx="1743075" cy="733425"/>
          <wp:effectExtent l="19050" t="0" r="9525" b="0"/>
          <wp:wrapSquare wrapText="bothSides"/>
          <wp:docPr id="2"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2" cstate="print"/>
                  <a:stretch>
                    <a:fillRect/>
                  </a:stretch>
                </pic:blipFill>
                <pic:spPr>
                  <a:xfrm>
                    <a:off x="0" y="0"/>
                    <a:ext cx="1743075" cy="733425"/>
                  </a:xfrm>
                  <a:prstGeom prst="rect">
                    <a:avLst/>
                  </a:prstGeom>
                  <a:ln>
                    <a:noFill/>
                  </a:ln>
                  <a:effectLst>
                    <a:softEdge rad="112500"/>
                  </a:effectLst>
                </pic:spPr>
              </pic:pic>
            </a:graphicData>
          </a:graphic>
        </wp:anchor>
      </w:drawing>
    </w:r>
    <w:r>
      <w:rPr>
        <w:noProof/>
        <w:lang w:eastAsia="pl-PL"/>
      </w:rPr>
      <w:drawing>
        <wp:anchor distT="0" distB="0" distL="114300" distR="114300" simplePos="0" relativeHeight="251659264" behindDoc="0" locked="0" layoutInCell="1" allowOverlap="1" wp14:anchorId="02B70B5A" wp14:editId="433B2D39">
          <wp:simplePos x="0" y="0"/>
          <wp:positionH relativeFrom="column">
            <wp:posOffset>1395730</wp:posOffset>
          </wp:positionH>
          <wp:positionV relativeFrom="paragraph">
            <wp:posOffset>-106680</wp:posOffset>
          </wp:positionV>
          <wp:extent cx="952500" cy="952500"/>
          <wp:effectExtent l="0" t="0" r="0" b="0"/>
          <wp:wrapSquare wrapText="bothSides"/>
          <wp:docPr id="3" name="Obraz 3" descr="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gif"/>
                  <pic:cNvPicPr>
                    <a:picLocks noChangeAspect="1" noChangeArrowheads="1"/>
                  </pic:cNvPicPr>
                </pic:nvPicPr>
                <pic:blipFill>
                  <a:blip r:embed="rId3" cstate="print"/>
                  <a:srcRect/>
                  <a:stretch>
                    <a:fillRect/>
                  </a:stretch>
                </pic:blipFill>
                <pic:spPr bwMode="auto">
                  <a:xfrm>
                    <a:off x="0" y="0"/>
                    <a:ext cx="952500" cy="952500"/>
                  </a:xfrm>
                  <a:prstGeom prst="rect">
                    <a:avLst/>
                  </a:prstGeom>
                  <a:noFill/>
                </pic:spPr>
              </pic:pic>
            </a:graphicData>
          </a:graphic>
        </wp:anchor>
      </w:drawing>
    </w:r>
    <w:r w:rsidRPr="004D682F">
      <w:rPr>
        <w:noProof/>
        <w:lang w:eastAsia="pl-PL"/>
      </w:rPr>
      <w:drawing>
        <wp:inline distT="0" distB="0" distL="0" distR="0" wp14:anchorId="5042C005" wp14:editId="2BCD6845">
          <wp:extent cx="1119637" cy="748276"/>
          <wp:effectExtent l="19050" t="0" r="4313" b="0"/>
          <wp:docPr id="4"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4" cstate="print"/>
                  <a:stretch>
                    <a:fillRect/>
                  </a:stretch>
                </pic:blipFill>
                <pic:spPr>
                  <a:xfrm>
                    <a:off x="0" y="0"/>
                    <a:ext cx="1125230" cy="752014"/>
                  </a:xfrm>
                  <a:prstGeom prst="rect">
                    <a:avLst/>
                  </a:prstGeom>
                </pic:spPr>
              </pic:pic>
            </a:graphicData>
          </a:graphic>
        </wp:inline>
      </w:drawing>
    </w:r>
    <w:r w:rsidRPr="005D62BF">
      <w:rPr>
        <w:noProof/>
        <w:sz w:val="24"/>
        <w:szCs w:val="32"/>
        <w:lang w:eastAsia="pl-PL"/>
      </w:rPr>
      <w:t xml:space="preserve"> </w:t>
    </w:r>
    <w:r>
      <w:rPr>
        <w:noProof/>
        <w:sz w:val="24"/>
        <w:szCs w:val="32"/>
        <w:lang w:eastAsia="pl-PL"/>
      </w:rPr>
      <w:tab/>
    </w:r>
    <w:r>
      <w:rPr>
        <w:noProof/>
        <w:sz w:val="24"/>
        <w:szCs w:val="32"/>
        <w:lang w:eastAsia="pl-PL"/>
      </w:rPr>
      <w:tab/>
    </w:r>
  </w:p>
  <w:p w:rsidR="00990FBE" w:rsidRPr="00201563" w:rsidRDefault="00990FBE" w:rsidP="00990FBE">
    <w:pPr>
      <w:tabs>
        <w:tab w:val="left" w:pos="406"/>
        <w:tab w:val="center" w:pos="4794"/>
      </w:tabs>
      <w:spacing w:after="0" w:line="240" w:lineRule="auto"/>
      <w:jc w:val="center"/>
      <w:rPr>
        <w:rFonts w:ascii="Times New Roman" w:hAnsi="Times New Roman"/>
        <w:sz w:val="16"/>
        <w:szCs w:val="16"/>
      </w:rPr>
    </w:pPr>
    <w:r w:rsidRPr="00201563">
      <w:rPr>
        <w:rFonts w:ascii="Times New Roman" w:hAnsi="Times New Roman"/>
        <w:sz w:val="16"/>
        <w:szCs w:val="16"/>
      </w:rPr>
      <w:t>Europejski Fundusz Rolny na rzecz Rozwoju Obszarów Wiejskich: Europa inwestująca w obszary wiejskie.</w:t>
    </w:r>
  </w:p>
  <w:p w:rsidR="00C723CA" w:rsidRPr="00990FBE" w:rsidRDefault="00990FBE" w:rsidP="00990FBE">
    <w:pPr>
      <w:tabs>
        <w:tab w:val="left" w:pos="1980"/>
      </w:tabs>
      <w:spacing w:after="0" w:line="240" w:lineRule="auto"/>
      <w:jc w:val="center"/>
      <w:rPr>
        <w:rFonts w:ascii="Times New Roman" w:hAnsi="Times New Roman"/>
        <w:sz w:val="16"/>
        <w:szCs w:val="16"/>
      </w:rPr>
    </w:pPr>
    <w:r w:rsidRPr="00201563">
      <w:rPr>
        <w:rFonts w:ascii="Times New Roman" w:hAnsi="Times New Roman"/>
        <w:sz w:val="16"/>
        <w:szCs w:val="16"/>
      </w:rPr>
      <w:t>Program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w:t>
    </w:r>
    <w:r w:rsidR="00990FBE">
      <w:rPr>
        <w:rFonts w:ascii="Times New Roman" w:eastAsiaTheme="majorEastAsia" w:hAnsi="Times New Roman" w:cs="Times New Roman"/>
      </w:rPr>
      <w:t>8</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5E712FBE" wp14:editId="374170A7">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5">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9"/>
  </w:num>
  <w:num w:numId="3">
    <w:abstractNumId w:val="52"/>
  </w:num>
  <w:num w:numId="4">
    <w:abstractNumId w:val="47"/>
  </w:num>
  <w:num w:numId="5">
    <w:abstractNumId w:val="56"/>
  </w:num>
  <w:num w:numId="6">
    <w:abstractNumId w:val="5"/>
  </w:num>
  <w:num w:numId="7">
    <w:abstractNumId w:val="2"/>
  </w:num>
  <w:num w:numId="8">
    <w:abstractNumId w:val="55"/>
  </w:num>
  <w:num w:numId="9">
    <w:abstractNumId w:val="8"/>
  </w:num>
  <w:num w:numId="10">
    <w:abstractNumId w:val="19"/>
  </w:num>
  <w:num w:numId="11">
    <w:abstractNumId w:val="51"/>
  </w:num>
  <w:num w:numId="12">
    <w:abstractNumId w:val="10"/>
  </w:num>
  <w:num w:numId="13">
    <w:abstractNumId w:val="4"/>
  </w:num>
  <w:num w:numId="14">
    <w:abstractNumId w:val="38"/>
  </w:num>
  <w:num w:numId="15">
    <w:abstractNumId w:val="28"/>
  </w:num>
  <w:num w:numId="16">
    <w:abstractNumId w:val="58"/>
  </w:num>
  <w:num w:numId="17">
    <w:abstractNumId w:val="57"/>
  </w:num>
  <w:num w:numId="18">
    <w:abstractNumId w:val="40"/>
  </w:num>
  <w:num w:numId="19">
    <w:abstractNumId w:val="34"/>
  </w:num>
  <w:num w:numId="20">
    <w:abstractNumId w:val="3"/>
  </w:num>
  <w:num w:numId="21">
    <w:abstractNumId w:val="49"/>
  </w:num>
  <w:num w:numId="22">
    <w:abstractNumId w:val="27"/>
  </w:num>
  <w:num w:numId="23">
    <w:abstractNumId w:val="26"/>
  </w:num>
  <w:num w:numId="24">
    <w:abstractNumId w:val="42"/>
  </w:num>
  <w:num w:numId="25">
    <w:abstractNumId w:val="25"/>
  </w:num>
  <w:num w:numId="26">
    <w:abstractNumId w:val="0"/>
  </w:num>
  <w:num w:numId="27">
    <w:abstractNumId w:val="18"/>
  </w:num>
  <w:num w:numId="28">
    <w:abstractNumId w:val="30"/>
  </w:num>
  <w:num w:numId="29">
    <w:abstractNumId w:val="1"/>
  </w:num>
  <w:num w:numId="30">
    <w:abstractNumId w:val="45"/>
  </w:num>
  <w:num w:numId="31">
    <w:abstractNumId w:val="23"/>
  </w:num>
  <w:num w:numId="32">
    <w:abstractNumId w:val="59"/>
  </w:num>
  <w:num w:numId="33">
    <w:abstractNumId w:val="14"/>
  </w:num>
  <w:num w:numId="34">
    <w:abstractNumId w:val="33"/>
  </w:num>
  <w:num w:numId="35">
    <w:abstractNumId w:val="37"/>
  </w:num>
  <w:num w:numId="36">
    <w:abstractNumId w:val="54"/>
  </w:num>
  <w:num w:numId="37">
    <w:abstractNumId w:val="6"/>
  </w:num>
  <w:num w:numId="38">
    <w:abstractNumId w:val="36"/>
  </w:num>
  <w:num w:numId="39">
    <w:abstractNumId w:val="16"/>
  </w:num>
  <w:num w:numId="40">
    <w:abstractNumId w:val="48"/>
  </w:num>
  <w:num w:numId="41">
    <w:abstractNumId w:val="21"/>
  </w:num>
  <w:num w:numId="42">
    <w:abstractNumId w:val="43"/>
  </w:num>
  <w:num w:numId="43">
    <w:abstractNumId w:val="22"/>
  </w:num>
  <w:num w:numId="44">
    <w:abstractNumId w:val="41"/>
  </w:num>
  <w:num w:numId="45">
    <w:abstractNumId w:val="12"/>
  </w:num>
  <w:num w:numId="46">
    <w:abstractNumId w:val="29"/>
  </w:num>
  <w:num w:numId="47">
    <w:abstractNumId w:val="17"/>
  </w:num>
  <w:num w:numId="48">
    <w:abstractNumId w:val="46"/>
  </w:num>
  <w:num w:numId="49">
    <w:abstractNumId w:val="31"/>
  </w:num>
  <w:num w:numId="50">
    <w:abstractNumId w:val="32"/>
  </w:num>
  <w:num w:numId="51">
    <w:abstractNumId w:val="20"/>
  </w:num>
  <w:num w:numId="52">
    <w:abstractNumId w:val="35"/>
  </w:num>
  <w:num w:numId="53">
    <w:abstractNumId w:val="44"/>
  </w:num>
  <w:num w:numId="54">
    <w:abstractNumId w:val="7"/>
  </w:num>
  <w:num w:numId="55">
    <w:abstractNumId w:val="53"/>
  </w:num>
  <w:num w:numId="56">
    <w:abstractNumId w:val="13"/>
  </w:num>
  <w:num w:numId="57">
    <w:abstractNumId w:val="11"/>
  </w:num>
  <w:num w:numId="58">
    <w:abstractNumId w:val="15"/>
  </w:num>
  <w:num w:numId="59">
    <w:abstractNumId w:val="24"/>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17EF7"/>
    <w:rsid w:val="0015498C"/>
    <w:rsid w:val="00187C2A"/>
    <w:rsid w:val="001B41FD"/>
    <w:rsid w:val="00201D42"/>
    <w:rsid w:val="0021318D"/>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56CE9"/>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95E85"/>
    <w:rsid w:val="008A083D"/>
    <w:rsid w:val="008C17B6"/>
    <w:rsid w:val="008F65CE"/>
    <w:rsid w:val="00931ACB"/>
    <w:rsid w:val="009368F3"/>
    <w:rsid w:val="00955D82"/>
    <w:rsid w:val="00976DAF"/>
    <w:rsid w:val="00984E63"/>
    <w:rsid w:val="00990FBE"/>
    <w:rsid w:val="009A220D"/>
    <w:rsid w:val="009B1587"/>
    <w:rsid w:val="009C1CEC"/>
    <w:rsid w:val="00A113C6"/>
    <w:rsid w:val="00AC3AC0"/>
    <w:rsid w:val="00AF4EDA"/>
    <w:rsid w:val="00B03B9C"/>
    <w:rsid w:val="00B95AD1"/>
    <w:rsid w:val="00BD2F98"/>
    <w:rsid w:val="00BF7FEF"/>
    <w:rsid w:val="00C468A3"/>
    <w:rsid w:val="00C67198"/>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E056A"/>
    <w:rsid w:val="00FF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4B43-0CD6-48E8-A794-99AE93AA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9594</Words>
  <Characters>57570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2022-08-23T06:57:00Z</dcterms:created>
  <dcterms:modified xsi:type="dcterms:W3CDTF">2022-08-23T06:57:00Z</dcterms:modified>
</cp:coreProperties>
</file>