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Załącznik nr 8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Nr postępowania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P2024/6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2701" cy="8951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2701" cy="89518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701" cy="89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o ochronie konkurencji i konsumentów (Dz. U. z 2024 r., poz. 594).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</w:t>
        <w:br w:type="textWrapping"/>
        <w:t xml:space="preserve">o ochronie konkurencji i konsumentów (Dz. U. z 2024 r., poz. 594).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2jNQrRsAEdeYN1bvF8ec+U8a1g==">CgMxLjAyCGguZ2pkZ3hzOABqKQoUc3VnZ2VzdC5vODE2Y3JsMnh6NHkSEURhbmllbCBEb21vcmFkemtpaikKFHN1Z2dlc3QuNnl4Nm5zYXRmNmluEhFEYW5pZWwgRG9tb3JhZHpraWopChRzdWdnZXN0Lnl6MDM4dWxkM2hpbBIRRGFuaWVsIERvbW9yYWR6a2lqKQoUc3VnZ2VzdC53eWZ1ZDJ4andtZzUSEURhbmllbCBEb21vcmFkemtpciExOFRENnRobGR0S2VIU3pJVzV2TjRkMnk3a25yaEViO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