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2CB5DD5C" w:rsidR="009A2540" w:rsidRPr="009D3A5E" w:rsidRDefault="009A2540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cz. nr 2 zamówienia, ambulans typ „C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93EF291" w14:textId="77777777" w:rsidR="009A2540" w:rsidRDefault="009A25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9A2540" w:rsidRPr="00CC3909" w:rsidRDefault="009A2540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2CB5DD5C" w:rsidR="009A2540" w:rsidRPr="009D3A5E" w:rsidRDefault="009A2540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cz. nr 2 zamówienia, ambulans typ „C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93EF291" w14:textId="77777777" w:rsidR="009A2540" w:rsidRDefault="009A25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9A2540" w:rsidRPr="00CC3909" w:rsidRDefault="009A2540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57F9E8BD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D46293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- kurtyny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bezpieczeństwa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4C5C4F73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390DA85D" w:rsidR="00857781" w:rsidRPr="00263544" w:rsidRDefault="00857781" w:rsidP="00D4629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="00D462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automatyczna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257F83EC" w:rsidR="00857781" w:rsidRPr="005C3CB2" w:rsidRDefault="00857781" w:rsidP="00D4629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</w:t>
            </w:r>
            <w:r w:rsidR="00D4629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/typ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skrzyni biegów 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23899FBA" w:rsidR="00857781" w:rsidRPr="00A0561B" w:rsidRDefault="00857781" w:rsidP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9A254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4DB41209" w:rsidR="009A2540" w:rsidRPr="009D3A5E" w:rsidRDefault="009A2540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2 zamówienia, ambulans typ „C”</w:t>
                                  </w:r>
                                </w:p>
                                <w:p w14:paraId="1D23629A" w14:textId="77777777" w:rsidR="009A2540" w:rsidRPr="003815B8" w:rsidRDefault="009A2540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9A2540" w:rsidRDefault="009A2540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4DB41209" w:rsidR="009A2540" w:rsidRPr="009D3A5E" w:rsidRDefault="009A2540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2 zamówienia, ambulans typ „C”</w:t>
                            </w:r>
                          </w:p>
                          <w:p w14:paraId="1D23629A" w14:textId="77777777" w:rsidR="009A2540" w:rsidRPr="003815B8" w:rsidRDefault="009A2540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9A2540" w:rsidRDefault="009A254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476260E8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31F5E6F4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9A254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55773F41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6C56196E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1C55B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 łatwo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6288A841" w:rsidR="00857781" w:rsidRPr="00D948EE" w:rsidRDefault="00D948EE" w:rsidP="00C172C5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C172C5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1C55B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0319ED">
        <w:trPr>
          <w:gridAfter w:val="1"/>
          <w:wAfter w:w="1382" w:type="pct"/>
          <w:cantSplit/>
          <w:trHeight w:val="134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526E4961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</w:t>
            </w:r>
            <w:r w:rsidR="000319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1C55BC">
        <w:trPr>
          <w:gridAfter w:val="1"/>
          <w:wAfter w:w="1382" w:type="pct"/>
          <w:cantSplit/>
          <w:trHeight w:val="1515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65E2A92E" w:rsidR="00B43644" w:rsidRPr="001F5E0C" w:rsidRDefault="00857781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572B5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dyrektywą 93/42/EWG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="00956824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32D4390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dop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b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290927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20BD9ED9" w:rsidR="00290927" w:rsidRPr="00290927" w:rsidRDefault="00290927" w:rsidP="0029092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laweta z napędem elektrycznym umożliwiająca automatyczny (bez konieczności wykonywania żadnych czynności fizycznych przez personel takich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jak:wpychanie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wyciąganie ręczne, </w:t>
            </w:r>
            <w:proofErr w:type="spellStart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itp</w:t>
            </w:r>
            <w:proofErr w:type="spellEnd"/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…),  załadunek i rozładunek  noszy do /z karetki poprze system samoczynnie wciągający i wysuwający nosze, stanowiący element lawety.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transporterze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90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Laweta</w:t>
            </w:r>
            <w:r w:rsidRPr="00290927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P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albo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posiadająca dodatkowy składany najazd pełniący tą funkcję. </w:t>
            </w:r>
            <w:r w:rsidRPr="0029092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przypadkach awaryjnych systemu automatycznego załadunku lub braku zasilania laweta musi umożliwiać ręczne wprowadzenie i wyprowadzenie noszy z ambulansu w jak najkrótszym czasie. </w:t>
            </w:r>
            <w:r w:rsidRPr="00290927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Zamontowany system bezwzględnego wyłączenia mechanizmów wciągania i zatrzymania się w przypadku wystąpienia zagrożenia związanego z załadunkiem i wyładunkiem.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BC53F" w14:textId="38947413" w:rsidR="00857781" w:rsidRPr="009912C0" w:rsidRDefault="00290927" w:rsidP="0029092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290927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*opisać oferowane rozwiązanie </w:t>
            </w:r>
          </w:p>
        </w:tc>
      </w:tr>
      <w:tr w:rsidR="00857781" w:rsidRPr="00B13B0E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43F66A2D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75B88C97" w:rsidR="00857781" w:rsidRPr="00B22F72" w:rsidRDefault="00857781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11F18D4B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142F48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58028DD3" w:rsidR="00142F48" w:rsidRPr="002F1FC1" w:rsidRDefault="00142F48" w:rsidP="00290927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. zestawu noszy 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mocowani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 - lawety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1D32EC6F" w14:textId="77777777" w:rsidTr="00EA7137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max. 72 godz.)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,. noszy z lawetą,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u w:val="single"/>
                <w:lang w:val="pl-PL" w:eastAsia="pl-PL"/>
              </w:rPr>
              <w:t>naprawy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w siedzibie Zamawiającego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  <w:bookmarkStart w:id="0" w:name="_GoBack"/>
            <w:bookmarkEnd w:id="0"/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2C68EFA8" w:rsidR="00142F48" w:rsidRDefault="00142F48" w:rsidP="00EA713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może przekraczać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2-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3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osobowego zespołu ratunkowego + jeden pacjent. Kierowca z kategorią prawa jazdy „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musi,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potwierdzenia spełnienia warunku kryterium oceny ofert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>przesłać razem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dokumenty potwierdzające te parametry.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braku ich złożenia wraz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142F48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tablet, drukarka, GPS – </w:t>
            </w:r>
            <w:r w:rsidRPr="00A73297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3C54D457" w14:textId="77777777" w:rsidR="00142F48" w:rsidRPr="00834F98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B13B0E" w14:paraId="45769F7F" w14:textId="77777777" w:rsidTr="00EA7137">
              <w:trPr>
                <w:trHeight w:val="675"/>
              </w:trPr>
              <w:tc>
                <w:tcPr>
                  <w:tcW w:w="426" w:type="dxa"/>
                </w:tcPr>
                <w:p w14:paraId="1D62ED4B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9A2540" w:rsidRDefault="009A2540">
      <w:r>
        <w:separator/>
      </w:r>
    </w:p>
  </w:endnote>
  <w:endnote w:type="continuationSeparator" w:id="0">
    <w:p w14:paraId="68ABBA14" w14:textId="77777777" w:rsidR="009A2540" w:rsidRDefault="009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9A2540" w:rsidRDefault="009A2540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55BC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37276E8" w14:textId="77777777" w:rsidR="009A2540" w:rsidRDefault="009A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9A2540" w:rsidRDefault="009A2540">
      <w:r>
        <w:separator/>
      </w:r>
    </w:p>
  </w:footnote>
  <w:footnote w:type="continuationSeparator" w:id="0">
    <w:p w14:paraId="0368159B" w14:textId="77777777" w:rsidR="009A2540" w:rsidRDefault="009A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9A2540" w:rsidRDefault="009A2540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9A2540" w:rsidRDefault="009A2540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40A8DB0B" w:rsidR="009A2540" w:rsidRDefault="009A2540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7/AMB/2024</w:t>
    </w:r>
    <w:r>
      <w:rPr>
        <w:rFonts w:ascii="Times New Roman" w:hAnsi="Times New Roman"/>
        <w:i/>
        <w:sz w:val="20"/>
        <w:lang w:val="pl-PL"/>
      </w:rPr>
      <w:tab/>
      <w:t xml:space="preserve">  - część nr 2 zamówienia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e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</w:t>
    </w:r>
    <w:r>
      <w:rPr>
        <w:rFonts w:ascii="Times New Roman" w:hAnsi="Times New Roman"/>
        <w:i/>
        <w:sz w:val="20"/>
        <w:szCs w:val="20"/>
        <w:lang w:val="pl-PL"/>
      </w:rPr>
      <w:t>e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8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19ED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55BC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0927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34F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16D96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A2540"/>
    <w:rsid w:val="009B080A"/>
    <w:rsid w:val="009B3637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73297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2C5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96A"/>
    <w:rsid w:val="00CF4FE9"/>
    <w:rsid w:val="00CF623D"/>
    <w:rsid w:val="00CF6410"/>
    <w:rsid w:val="00CF689F"/>
    <w:rsid w:val="00CF7EDD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293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A7137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D41D-4C31-4B29-B792-0F56B5D4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5063</Words>
  <Characters>32900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4</cp:revision>
  <cp:lastPrinted>2023-09-05T11:57:00Z</cp:lastPrinted>
  <dcterms:created xsi:type="dcterms:W3CDTF">2024-05-10T06:01:00Z</dcterms:created>
  <dcterms:modified xsi:type="dcterms:W3CDTF">2024-05-10T07:33:00Z</dcterms:modified>
</cp:coreProperties>
</file>