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41E4" w14:textId="77777777" w:rsidR="0036749E" w:rsidRDefault="0036749E" w:rsidP="00F97DF9">
      <w:pPr>
        <w:spacing w:line="240" w:lineRule="auto"/>
        <w:ind w:firstLine="0"/>
        <w:jc w:val="center"/>
        <w:rPr>
          <w:rFonts w:asciiTheme="majorHAnsi" w:eastAsia="Calibri" w:hAnsiTheme="majorHAnsi" w:cstheme="majorHAnsi"/>
          <w:b/>
          <w:bCs/>
          <w:color w:val="000000" w:themeColor="text1"/>
          <w:sz w:val="32"/>
          <w:szCs w:val="32"/>
          <w:lang w:eastAsia="en-US"/>
        </w:rPr>
      </w:pPr>
    </w:p>
    <w:p w14:paraId="6955A98B" w14:textId="7398CAD5" w:rsidR="00F310AE" w:rsidRPr="00BA25F9" w:rsidRDefault="00F310AE" w:rsidP="00F97DF9">
      <w:pPr>
        <w:spacing w:line="240" w:lineRule="auto"/>
        <w:ind w:firstLine="0"/>
        <w:jc w:val="center"/>
        <w:rPr>
          <w:rFonts w:asciiTheme="majorHAnsi" w:eastAsia="Calibri" w:hAnsiTheme="majorHAnsi" w:cstheme="majorHAnsi"/>
          <w:b/>
          <w:bCs/>
          <w:color w:val="000000" w:themeColor="text1"/>
          <w:sz w:val="32"/>
          <w:szCs w:val="32"/>
          <w:lang w:eastAsia="en-US"/>
        </w:rPr>
      </w:pPr>
      <w:r w:rsidRPr="00BA25F9">
        <w:rPr>
          <w:rFonts w:asciiTheme="majorHAnsi" w:eastAsia="Calibri" w:hAnsiTheme="majorHAnsi" w:cstheme="majorHAnsi"/>
          <w:b/>
          <w:bCs/>
          <w:color w:val="000000" w:themeColor="text1"/>
          <w:sz w:val="32"/>
          <w:szCs w:val="32"/>
          <w:lang w:eastAsia="en-US"/>
        </w:rPr>
        <w:t>OPIS PRZEDMIOTU ZAMÓWIENIA</w:t>
      </w:r>
    </w:p>
    <w:p w14:paraId="282C99F0" w14:textId="49316BE7" w:rsidR="00F310AE" w:rsidRPr="00834B84" w:rsidRDefault="00F310AE" w:rsidP="00F97DF9">
      <w:pPr>
        <w:spacing w:line="240" w:lineRule="auto"/>
        <w:ind w:firstLine="0"/>
        <w:jc w:val="center"/>
        <w:rPr>
          <w:rFonts w:asciiTheme="majorHAnsi" w:eastAsia="Calibri" w:hAnsiTheme="majorHAnsi" w:cstheme="majorHAnsi"/>
          <w:b/>
          <w:bCs/>
          <w:i/>
          <w:iCs/>
          <w:color w:val="000000" w:themeColor="text1"/>
          <w:sz w:val="20"/>
          <w:lang w:eastAsia="en-US"/>
        </w:rPr>
      </w:pPr>
      <w:r w:rsidRPr="00834B84">
        <w:rPr>
          <w:rFonts w:asciiTheme="majorHAnsi" w:eastAsia="Calibri" w:hAnsiTheme="majorHAnsi" w:cstheme="majorHAnsi"/>
          <w:b/>
          <w:i/>
          <w:iCs/>
          <w:color w:val="000000" w:themeColor="text1"/>
          <w:sz w:val="20"/>
          <w:lang w:eastAsia="en-US"/>
        </w:rPr>
        <w:t>(dalej: OPZ)</w:t>
      </w:r>
    </w:p>
    <w:p w14:paraId="39147F83" w14:textId="77777777" w:rsidR="00F310AE" w:rsidRPr="00F310AE" w:rsidRDefault="00F310AE" w:rsidP="00F97DF9">
      <w:pPr>
        <w:spacing w:line="240" w:lineRule="auto"/>
        <w:ind w:firstLine="0"/>
        <w:jc w:val="center"/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8"/>
          <w:lang w:eastAsia="en-US"/>
        </w:rPr>
      </w:pPr>
    </w:p>
    <w:p w14:paraId="00756D4E" w14:textId="08B3538E" w:rsidR="00F310AE" w:rsidRPr="00BA47F0" w:rsidRDefault="00221A0D" w:rsidP="00221A0D">
      <w:pPr>
        <w:spacing w:line="240" w:lineRule="auto"/>
        <w:ind w:firstLine="0"/>
        <w:jc w:val="left"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</w:pPr>
      <w:r w:rsidRPr="00B64156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Dotyczy postępowania przetargowego pn.</w:t>
      </w:r>
      <w:r w:rsidRPr="00B64156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 „</w:t>
      </w:r>
      <w:r w:rsidR="00131CC0" w:rsidRPr="00B64156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>D</w:t>
      </w:r>
      <w:r w:rsidR="005A48C2" w:rsidRPr="00B64156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>ostaw</w:t>
      </w:r>
      <w:r w:rsidR="00B64156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>a</w:t>
      </w:r>
      <w:r w:rsidR="005A48C2" w:rsidRPr="00B64156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 licencji na oprogramowanie serwerowe</w:t>
      </w:r>
      <w:r w:rsidRPr="00B64156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>”</w:t>
      </w:r>
      <w:r w:rsidR="00F310AE" w:rsidRPr="00B64156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>.</w:t>
      </w:r>
    </w:p>
    <w:p w14:paraId="7A4CC000" w14:textId="6D6EB0FD" w:rsidR="00F310AE" w:rsidRPr="00BA47F0" w:rsidRDefault="00F310AE" w:rsidP="00A32381">
      <w:pPr>
        <w:spacing w:line="240" w:lineRule="auto"/>
        <w:ind w:firstLine="0"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</w:pPr>
    </w:p>
    <w:p w14:paraId="4A88D6D1" w14:textId="7EA5E1F8" w:rsidR="00F310AE" w:rsidRPr="00BA47F0" w:rsidRDefault="00F310AE" w:rsidP="00A32381">
      <w:pPr>
        <w:spacing w:line="240" w:lineRule="auto"/>
        <w:ind w:firstLine="0"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</w:pPr>
    </w:p>
    <w:p w14:paraId="138A9C3A" w14:textId="05B36D6E" w:rsidR="00F310AE" w:rsidRPr="00BA47F0" w:rsidRDefault="00183BD6" w:rsidP="00A32381">
      <w:pPr>
        <w:pStyle w:val="Akapitzlist"/>
        <w:numPr>
          <w:ilvl w:val="0"/>
          <w:numId w:val="11"/>
        </w:numPr>
        <w:spacing w:line="240" w:lineRule="auto"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</w:pPr>
      <w:r w:rsidRPr="00BA47F0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PRZEDMIOT I </w:t>
      </w:r>
      <w:r w:rsidR="00F310AE" w:rsidRPr="00BA47F0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>CEL ZAMÓWIENIA</w:t>
      </w:r>
    </w:p>
    <w:p w14:paraId="7FD19272" w14:textId="4BDDFFD8" w:rsidR="00BC4945" w:rsidRPr="00BA47F0" w:rsidRDefault="00BC4945" w:rsidP="00A32381">
      <w:pPr>
        <w:spacing w:line="240" w:lineRule="auto"/>
        <w:ind w:left="851" w:firstLine="0"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</w:pPr>
    </w:p>
    <w:p w14:paraId="1B651C97" w14:textId="0C226F53" w:rsidR="005A48C2" w:rsidRDefault="00183BD6" w:rsidP="00601570">
      <w:pPr>
        <w:pStyle w:val="Akapitzlist"/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5A48C2">
        <w:rPr>
          <w:rFonts w:asciiTheme="minorHAnsi" w:hAnsiTheme="minorHAnsi" w:cstheme="minorHAnsi"/>
          <w:sz w:val="24"/>
          <w:szCs w:val="24"/>
        </w:rPr>
        <w:t>Przedmiotem zamówienia jest dostawa</w:t>
      </w:r>
      <w:r w:rsidR="00726A8A">
        <w:rPr>
          <w:rFonts w:asciiTheme="minorHAnsi" w:hAnsiTheme="minorHAnsi" w:cstheme="minorHAnsi"/>
          <w:sz w:val="24"/>
          <w:szCs w:val="24"/>
        </w:rPr>
        <w:t xml:space="preserve"> nowych, nieużywanych</w:t>
      </w:r>
      <w:r w:rsidRPr="005A48C2">
        <w:rPr>
          <w:rFonts w:asciiTheme="minorHAnsi" w:hAnsiTheme="minorHAnsi" w:cstheme="minorHAnsi"/>
          <w:sz w:val="24"/>
          <w:szCs w:val="24"/>
        </w:rPr>
        <w:t xml:space="preserve"> </w:t>
      </w:r>
      <w:r w:rsidR="005A48C2" w:rsidRPr="005A48C2">
        <w:rPr>
          <w:rFonts w:asciiTheme="minorHAnsi" w:hAnsiTheme="minorHAnsi" w:cstheme="minorHAnsi"/>
          <w:sz w:val="24"/>
          <w:szCs w:val="24"/>
        </w:rPr>
        <w:t>licencji na oprogramowanie serwerowe</w:t>
      </w:r>
      <w:r w:rsidR="0075650C">
        <w:rPr>
          <w:rFonts w:asciiTheme="minorHAnsi" w:hAnsiTheme="minorHAnsi" w:cstheme="minorHAnsi"/>
          <w:sz w:val="24"/>
          <w:szCs w:val="24"/>
        </w:rPr>
        <w:t xml:space="preserve"> wraz ze wsparciem producenta oprogramowania</w:t>
      </w:r>
      <w:r w:rsidR="008300A0">
        <w:rPr>
          <w:rFonts w:asciiTheme="minorHAnsi" w:hAnsiTheme="minorHAnsi" w:cstheme="minorHAnsi"/>
          <w:sz w:val="24"/>
          <w:szCs w:val="24"/>
        </w:rPr>
        <w:t xml:space="preserve"> przez okres wskazany przez producenta oprogramowania</w:t>
      </w:r>
      <w:r w:rsidR="005A48C2">
        <w:rPr>
          <w:rFonts w:asciiTheme="minorHAnsi" w:hAnsiTheme="minorHAnsi" w:cstheme="minorHAnsi"/>
          <w:sz w:val="24"/>
          <w:szCs w:val="24"/>
        </w:rPr>
        <w:t>.</w:t>
      </w:r>
      <w:r w:rsidR="005A48C2" w:rsidRPr="005A48C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5811C8" w14:textId="77CF5904" w:rsidR="00254B28" w:rsidRPr="00601570" w:rsidRDefault="00254B28" w:rsidP="00601570">
      <w:pPr>
        <w:pStyle w:val="Akapitzlist"/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pod pojęciem oprogramowanie serwerowe rozumie </w:t>
      </w:r>
      <w:r w:rsidR="00E06CEA">
        <w:rPr>
          <w:rFonts w:asciiTheme="minorHAnsi" w:hAnsiTheme="minorHAnsi" w:cstheme="minorHAnsi"/>
          <w:sz w:val="24"/>
          <w:szCs w:val="24"/>
        </w:rPr>
        <w:t>licencje na oprogramowanie i licencje dostępowe Windows serwer 2022 Data Center lub rozwiązanie równoważne, oraz licencje na oprogramowane</w:t>
      </w:r>
      <w:r w:rsidR="004E2DF5">
        <w:rPr>
          <w:rFonts w:asciiTheme="minorHAnsi" w:hAnsiTheme="minorHAnsi" w:cstheme="minorHAnsi"/>
          <w:sz w:val="24"/>
          <w:szCs w:val="24"/>
        </w:rPr>
        <w:t xml:space="preserve"> bazodanowe</w:t>
      </w:r>
      <w:r w:rsidR="00E06CEA">
        <w:rPr>
          <w:rFonts w:asciiTheme="minorHAnsi" w:hAnsiTheme="minorHAnsi" w:cstheme="minorHAnsi"/>
          <w:sz w:val="24"/>
          <w:szCs w:val="24"/>
        </w:rPr>
        <w:t xml:space="preserve"> </w:t>
      </w:r>
      <w:r w:rsidR="004E2DF5">
        <w:rPr>
          <w:rFonts w:asciiTheme="minorHAnsi" w:hAnsiTheme="minorHAnsi" w:cstheme="minorHAnsi"/>
          <w:sz w:val="24"/>
          <w:szCs w:val="24"/>
        </w:rPr>
        <w:t xml:space="preserve">i licencje dostępowe </w:t>
      </w:r>
      <w:r w:rsidR="00E06CEA">
        <w:rPr>
          <w:rFonts w:asciiTheme="minorHAnsi" w:hAnsiTheme="minorHAnsi" w:cstheme="minorHAnsi"/>
          <w:sz w:val="24"/>
          <w:szCs w:val="24"/>
        </w:rPr>
        <w:t xml:space="preserve">MS SQL 2019 Standard lub rozwiązanie równoważne. </w:t>
      </w:r>
    </w:p>
    <w:p w14:paraId="38635A2E" w14:textId="57F140B0" w:rsidR="005A48C2" w:rsidRPr="005A48C2" w:rsidRDefault="005A48C2" w:rsidP="005A48C2">
      <w:pPr>
        <w:pStyle w:val="Akapitzlist"/>
        <w:numPr>
          <w:ilvl w:val="0"/>
          <w:numId w:val="21"/>
        </w:numPr>
        <w:spacing w:line="240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Celem </w:t>
      </w:r>
      <w:r w:rsidR="00254B28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zamówienia</w:t>
      </w:r>
      <w:r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jest uzyskanie licencji na </w:t>
      </w:r>
      <w:r w:rsidR="00850911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posiadane środowisko serwerowe</w:t>
      </w:r>
      <w:r w:rsidR="00254B28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Pr="005A48C2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Zamawiającego</w:t>
      </w:r>
      <w:r w:rsidR="00850911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, które</w:t>
      </w:r>
      <w:r w:rsidRPr="005A48C2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obsługuje 120 użytkowników i jest zlokalizowane w serwerowni Instytutu. Zbudowane jest z pięciu serwerów fizycznych, pracujących pod kontrolą systemów Windows Serwer 2012R2 Datacenter, które pracują w klastrze HYPER-V z uruchomionymi 20 serwerami wirtualnymi.</w:t>
      </w:r>
    </w:p>
    <w:p w14:paraId="76A10C63" w14:textId="77777777" w:rsidR="005A48C2" w:rsidRPr="00BA47F0" w:rsidRDefault="005A48C2" w:rsidP="005A48C2">
      <w:pPr>
        <w:pStyle w:val="Akapitzlist"/>
        <w:spacing w:line="240" w:lineRule="auto"/>
        <w:ind w:firstLine="0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</w:p>
    <w:p w14:paraId="01BFE538" w14:textId="77777777" w:rsidR="0036323E" w:rsidRPr="00BA47F0" w:rsidRDefault="0036323E" w:rsidP="00A32381">
      <w:pPr>
        <w:spacing w:line="240" w:lineRule="auto"/>
        <w:ind w:firstLine="0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</w:p>
    <w:p w14:paraId="17C90B94" w14:textId="7B86893C" w:rsidR="00384065" w:rsidRDefault="00384065" w:rsidP="00A32381">
      <w:pPr>
        <w:pStyle w:val="Akapitzlist"/>
        <w:numPr>
          <w:ilvl w:val="0"/>
          <w:numId w:val="11"/>
        </w:numPr>
        <w:spacing w:line="240" w:lineRule="auto"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</w:pPr>
      <w:r w:rsidRPr="00BA47F0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>PRZEDMIOT ZAMÓWIENIA</w:t>
      </w:r>
      <w:r w:rsidR="008A21A2" w:rsidRPr="00BA47F0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 </w:t>
      </w:r>
    </w:p>
    <w:p w14:paraId="734BBBE1" w14:textId="77777777" w:rsidR="00BA47F0" w:rsidRPr="00BA47F0" w:rsidRDefault="00BA47F0" w:rsidP="00673C83">
      <w:pPr>
        <w:pStyle w:val="Akapitzlist"/>
        <w:spacing w:line="240" w:lineRule="auto"/>
        <w:ind w:left="1080" w:firstLine="0"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</w:pPr>
    </w:p>
    <w:p w14:paraId="37929A9E" w14:textId="5776E0E9" w:rsidR="008A21A2" w:rsidRPr="0036749E" w:rsidRDefault="008A21A2" w:rsidP="0036749E">
      <w:pPr>
        <w:pStyle w:val="Akapitzlist"/>
        <w:numPr>
          <w:ilvl w:val="0"/>
          <w:numId w:val="23"/>
        </w:numPr>
        <w:spacing w:line="240" w:lineRule="auto"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</w:pPr>
      <w:r w:rsidRPr="0036749E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>LICENCJE</w:t>
      </w:r>
    </w:p>
    <w:p w14:paraId="7C82A660" w14:textId="7923ADDF" w:rsidR="008A21A2" w:rsidRPr="00673C83" w:rsidRDefault="008A21A2" w:rsidP="00A32381">
      <w:pPr>
        <w:spacing w:line="240" w:lineRule="auto"/>
        <w:ind w:firstLine="0"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</w:pPr>
    </w:p>
    <w:p w14:paraId="399EF28D" w14:textId="0F9E9860" w:rsidR="00924143" w:rsidRPr="005805FD" w:rsidRDefault="00CB0B3A" w:rsidP="005805FD">
      <w:pPr>
        <w:pStyle w:val="Akapitzlist"/>
        <w:numPr>
          <w:ilvl w:val="1"/>
          <w:numId w:val="23"/>
        </w:numPr>
        <w:spacing w:line="240" w:lineRule="auto"/>
        <w:ind w:left="993" w:hanging="426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5805FD">
        <w:rPr>
          <w:rFonts w:asciiTheme="minorHAnsi" w:hAnsiTheme="minorHAnsi" w:cstheme="minorHAnsi"/>
          <w:sz w:val="24"/>
          <w:szCs w:val="24"/>
        </w:rPr>
        <w:t xml:space="preserve">Przedmiotem zamówienia jest </w:t>
      </w:r>
      <w:r w:rsidRPr="005805FD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d</w:t>
      </w:r>
      <w:r w:rsidR="00134478" w:rsidRPr="005805FD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ostarczenie </w:t>
      </w:r>
      <w:r w:rsidRPr="005805FD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l</w:t>
      </w:r>
      <w:r w:rsidR="000425DB" w:rsidRPr="005805FD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icencj</w:t>
      </w:r>
      <w:r w:rsidR="00134478" w:rsidRPr="005805FD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i</w:t>
      </w:r>
      <w:r w:rsidR="000425DB" w:rsidRPr="005805FD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na oprogramowanie serwerowe</w:t>
      </w:r>
      <w:r w:rsidR="00FC3634" w:rsidRPr="005805FD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,</w:t>
      </w:r>
      <w:r w:rsidR="00924143" w:rsidRPr="005805FD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wirtualizacyjne</w:t>
      </w:r>
      <w:r w:rsidR="00910945" w:rsidRPr="005805FD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,</w:t>
      </w:r>
      <w:r w:rsidR="00FC3634" w:rsidRPr="005805FD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bazodanowe</w:t>
      </w:r>
      <w:r w:rsidR="00FC4FA5" w:rsidRPr="005805FD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910945" w:rsidRPr="005805FD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oraz dostępowe dla użytkowników</w:t>
      </w:r>
      <w:r w:rsidR="00924143" w:rsidRPr="005805FD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:</w:t>
      </w:r>
    </w:p>
    <w:p w14:paraId="152BFC5A" w14:textId="77777777" w:rsidR="00924143" w:rsidRPr="00673C83" w:rsidRDefault="00924143" w:rsidP="00A32381">
      <w:pPr>
        <w:pStyle w:val="Akapitzlist"/>
        <w:spacing w:line="240" w:lineRule="auto"/>
        <w:ind w:firstLine="0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</w:p>
    <w:p w14:paraId="19A0E36C" w14:textId="7B08BAF0" w:rsidR="00F17ADD" w:rsidRDefault="00F17ADD" w:rsidP="00F17ADD">
      <w:pPr>
        <w:pStyle w:val="Akapitzlist"/>
        <w:numPr>
          <w:ilvl w:val="0"/>
          <w:numId w:val="25"/>
        </w:numPr>
        <w:spacing w:line="240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A0732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Wykonawca dostarczy licencje na oprogramowanie </w:t>
      </w:r>
      <w:bookmarkStart w:id="0" w:name="_Hlk114741128"/>
      <w:r w:rsidRPr="00EA0732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serwerowe</w:t>
      </w:r>
      <w:r w:rsidR="00BD55A8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BD55A8" w:rsidRPr="00EA0732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Windows Serwer 2022</w:t>
      </w:r>
      <w:r w:rsidR="00BD55A8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BD55A8" w:rsidRPr="00EA0732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Data Center</w:t>
      </w:r>
      <w:r w:rsidRPr="00EA0732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wraz z wirtualizatorami i licencjami dostępowymi dla użytkowników </w:t>
      </w:r>
      <w:bookmarkEnd w:id="0"/>
      <w:r w:rsidRPr="00EA0732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do istniejącej infrastruktury serwerowej Zamawiającego, czyli: </w:t>
      </w:r>
    </w:p>
    <w:p w14:paraId="4C415EBB" w14:textId="77777777" w:rsidR="00F17ADD" w:rsidRDefault="00F17ADD" w:rsidP="00F17ADD">
      <w:pPr>
        <w:pStyle w:val="Akapitzlist"/>
        <w:numPr>
          <w:ilvl w:val="0"/>
          <w:numId w:val="26"/>
        </w:numPr>
        <w:spacing w:line="240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trzy serwery fizycznie</w:t>
      </w:r>
      <w:r w:rsidRPr="00EA0732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, każdy wyposażony w 2x CPU Intel Xeon Gold 6152</w:t>
      </w:r>
      <w:r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(22 rdzenie, 44 wątki)</w:t>
      </w:r>
      <w:r w:rsidRPr="00EA0732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. </w:t>
      </w:r>
    </w:p>
    <w:p w14:paraId="1C5D3690" w14:textId="77777777" w:rsidR="005805FD" w:rsidRDefault="00F17ADD" w:rsidP="00F17ADD">
      <w:pPr>
        <w:pStyle w:val="Akapitzlist"/>
        <w:numPr>
          <w:ilvl w:val="0"/>
          <w:numId w:val="26"/>
        </w:numPr>
        <w:spacing w:line="240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dwa serwery fizyczne</w:t>
      </w:r>
      <w:r w:rsidRPr="00EA0732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, każdy wyposażony w 2x CPU Intel Xeon Gold</w:t>
      </w:r>
      <w:r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I</w:t>
      </w:r>
      <w:r w:rsidRPr="008240F4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ntel </w:t>
      </w:r>
      <w:r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X</w:t>
      </w:r>
      <w:r w:rsidRPr="008240F4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eon </w:t>
      </w:r>
      <w:r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G</w:t>
      </w:r>
      <w:r w:rsidRPr="008240F4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old 5318y</w:t>
      </w:r>
      <w:r>
        <w:rPr>
          <w:rFonts w:eastAsia="Calibri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(24 rdzenie, 48 wątki)</w:t>
      </w:r>
      <w:r w:rsidR="005805FD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,</w:t>
      </w:r>
    </w:p>
    <w:p w14:paraId="02DC0421" w14:textId="1F92CF1A" w:rsidR="00F17ADD" w:rsidRPr="005805FD" w:rsidRDefault="005805FD" w:rsidP="005805FD">
      <w:pPr>
        <w:spacing w:line="240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5805FD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lub rozwiązanie równoważne opisane w punkcie III</w:t>
      </w:r>
      <w:r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Pr="005805FD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a</w:t>
      </w:r>
      <w:r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.</w:t>
      </w:r>
    </w:p>
    <w:p w14:paraId="095188BE" w14:textId="77777777" w:rsidR="005805FD" w:rsidRDefault="00F17ADD" w:rsidP="00F17ADD">
      <w:pPr>
        <w:pStyle w:val="Akapitzlist"/>
        <w:spacing w:line="240" w:lineRule="auto"/>
        <w:ind w:firstLine="0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A0732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Serwery pracują w klastrze niezawodnościowym opartym na Windows Serwer 2012R2 z Hyper-V i obsługujący 120 użytkowników. Licencje na dostarczone oprogramowanie serwerowe musi uwzględniać parametry techniczne sprzętu, który posiada Zamawiający. </w:t>
      </w:r>
    </w:p>
    <w:p w14:paraId="4D971172" w14:textId="307B6800" w:rsidR="00F17ADD" w:rsidRPr="00EA0732" w:rsidRDefault="00F17ADD" w:rsidP="00F17ADD">
      <w:pPr>
        <w:pStyle w:val="Akapitzlist"/>
        <w:spacing w:line="240" w:lineRule="auto"/>
        <w:ind w:firstLine="0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A0732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Wykonawca dostarczy licencje wraz ze wszystkimi składnikami niezbędnymi do potwierdzenia legalności ich pochodzenia. Dostarczone licencje muszą być dostępne na platformie Office.com będącej w posiadaniu Zamawiającego</w:t>
      </w:r>
      <w:r w:rsidR="00726A8A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lub formie elektronicznej na wskazany adres email</w:t>
      </w:r>
      <w:r w:rsidRPr="00EA0732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. Dostarczone licencje nie mogą posiadać ograniczeń czasowych. Licencje powinny również uprawniać do instalacji wcześniejszych wersji oraz umożliwiać instalacje nieograniczonej ilości instancji wirtualnych z prawem do instalacji na nich wcześniejszych wersji systemu operacyjnego </w:t>
      </w:r>
      <w:r w:rsidRPr="00EA0732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lastRenderedPageBreak/>
        <w:t>Windows. Licencje w okresie ich obowiązywania powinny również uprawniać do instalacji Systemu Windows Serwer na innej maszynie fizycznej jeżeli Zamawiający zdecyduje się na jej zmianę.</w:t>
      </w:r>
    </w:p>
    <w:p w14:paraId="378529BE" w14:textId="77777777" w:rsidR="00F17ADD" w:rsidRPr="006A1E09" w:rsidRDefault="00F17ADD" w:rsidP="00F17ADD">
      <w:pPr>
        <w:spacing w:line="240" w:lineRule="auto"/>
        <w:ind w:firstLine="0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</w:p>
    <w:p w14:paraId="19A7A587" w14:textId="0C42ED55" w:rsidR="00F17ADD" w:rsidRDefault="00F17ADD" w:rsidP="00B81F78">
      <w:pPr>
        <w:pStyle w:val="Akapitzlist"/>
        <w:numPr>
          <w:ilvl w:val="0"/>
          <w:numId w:val="25"/>
        </w:numPr>
        <w:spacing w:line="240" w:lineRule="auto"/>
        <w:ind w:firstLine="0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5805FD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Wykonawca dostarczy 10 licencji na</w:t>
      </w:r>
      <w:r w:rsidR="009A7673" w:rsidRPr="005805FD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oprogramowanie bazodanowe</w:t>
      </w:r>
      <w:r w:rsidRPr="005805FD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Microsoft SQL Server 2019 Standard wraz z licencjami dostępowymi dla 120 </w:t>
      </w:r>
      <w:r w:rsidR="005805FD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użytkowników. </w:t>
      </w:r>
      <w:r w:rsidRPr="005805FD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Licencje</w:t>
      </w:r>
      <w:r w:rsidR="005805FD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Pr="005805FD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muszą obsługiwać serwery wirtualne z ilością 8 Vcore oraz 64GB RAM </w:t>
      </w:r>
    </w:p>
    <w:p w14:paraId="34E424EE" w14:textId="64803646" w:rsidR="005805FD" w:rsidRPr="005805FD" w:rsidRDefault="005805FD" w:rsidP="005805FD">
      <w:pPr>
        <w:pStyle w:val="Akapitzlist"/>
        <w:spacing w:line="240" w:lineRule="auto"/>
        <w:ind w:firstLine="0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lub rozwiązanie równoważne.</w:t>
      </w:r>
    </w:p>
    <w:p w14:paraId="2A4B49C7" w14:textId="5215B6B4" w:rsidR="00726A8A" w:rsidRDefault="00726A8A" w:rsidP="00F17ADD">
      <w:pPr>
        <w:pStyle w:val="Akapitzlist"/>
        <w:spacing w:line="240" w:lineRule="auto"/>
        <w:ind w:firstLine="0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A0732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Wykonawca dostarczy licencje wraz ze wszystkimi składnikami niezbędnymi do potwierdzenia legalności ich pochodzenia. Dostarczone licencje muszą być dostępne na platformie Office.com będącej w posiadaniu Zamawiającego</w:t>
      </w:r>
      <w:r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lub </w:t>
      </w:r>
      <w:r w:rsidR="002309A9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w </w:t>
      </w:r>
      <w:r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formie elektronicznej na wskazany adres email</w:t>
      </w:r>
      <w:r w:rsidRPr="00EA0732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.</w:t>
      </w:r>
    </w:p>
    <w:p w14:paraId="4F85F1CD" w14:textId="733F99AE" w:rsidR="00F17ADD" w:rsidRDefault="00F17ADD" w:rsidP="00F17ADD">
      <w:pPr>
        <w:pStyle w:val="Akapitzlist"/>
        <w:spacing w:line="240" w:lineRule="auto"/>
        <w:ind w:firstLine="0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A0732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Dostarczone licencje nie mogą posiadać ograniczeń czasowych.</w:t>
      </w:r>
      <w:r w:rsidR="00726A8A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</w:p>
    <w:p w14:paraId="3D1B55A7" w14:textId="110D9CC5" w:rsidR="007C6AF6" w:rsidRDefault="007C6AF6" w:rsidP="00F17ADD">
      <w:pPr>
        <w:pStyle w:val="Akapitzlist"/>
        <w:spacing w:line="240" w:lineRule="auto"/>
        <w:ind w:firstLine="0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</w:p>
    <w:p w14:paraId="61FFED63" w14:textId="77777777" w:rsidR="00BD55A8" w:rsidRDefault="00BD55A8" w:rsidP="00F17ADD">
      <w:pPr>
        <w:pStyle w:val="Akapitzlist"/>
        <w:spacing w:line="240" w:lineRule="auto"/>
        <w:ind w:firstLine="0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</w:p>
    <w:p w14:paraId="52A11521" w14:textId="77777777" w:rsidR="00C22B94" w:rsidRPr="00830EF9" w:rsidRDefault="00C22B94" w:rsidP="00C22B94">
      <w:pPr>
        <w:pStyle w:val="Akapitzlist"/>
        <w:numPr>
          <w:ilvl w:val="0"/>
          <w:numId w:val="11"/>
        </w:numPr>
        <w:spacing w:line="240" w:lineRule="auto"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</w:pPr>
      <w:r w:rsidRPr="00830EF9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>Kryterium równoważności</w:t>
      </w:r>
    </w:p>
    <w:p w14:paraId="0BD9DD09" w14:textId="60E16F51" w:rsidR="00C22B94" w:rsidRPr="008D3423" w:rsidRDefault="00C22B94" w:rsidP="008D3423">
      <w:pPr>
        <w:pStyle w:val="Akapitzlist"/>
        <w:numPr>
          <w:ilvl w:val="0"/>
          <w:numId w:val="34"/>
        </w:numPr>
        <w:spacing w:line="240" w:lineRule="auto"/>
        <w:ind w:left="567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Kryteria równoważności dla Windows Serwer 2022 Data Center:</w:t>
      </w:r>
    </w:p>
    <w:p w14:paraId="40016C13" w14:textId="77777777" w:rsidR="00C22B94" w:rsidRPr="008D3423" w:rsidRDefault="00C22B94" w:rsidP="00C22B94">
      <w:pPr>
        <w:pStyle w:val="Akapitzlist"/>
        <w:spacing w:line="240" w:lineRule="auto"/>
        <w:ind w:left="709" w:firstLine="0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</w:p>
    <w:p w14:paraId="119BEB86" w14:textId="77777777" w:rsidR="00C22B94" w:rsidRPr="008D3423" w:rsidRDefault="00C22B94" w:rsidP="00C22B94">
      <w:pPr>
        <w:spacing w:after="28" w:line="240" w:lineRule="auto"/>
        <w:ind w:left="278" w:firstLine="0"/>
        <w:rPr>
          <w:rFonts w:asciiTheme="minorHAnsi" w:hAnsiTheme="minorHAnsi" w:cstheme="minorHAnsi"/>
          <w:sz w:val="24"/>
          <w:szCs w:val="24"/>
        </w:rPr>
      </w:pPr>
      <w:r w:rsidRPr="008D3423">
        <w:rPr>
          <w:rFonts w:asciiTheme="minorHAnsi" w:hAnsiTheme="minorHAnsi" w:cstheme="minorHAnsi"/>
          <w:sz w:val="24"/>
          <w:szCs w:val="24"/>
        </w:rPr>
        <w:t>System operacyjny w pełni kompatybilny z aktualnie używanym oprogramowaniem znajdującym się u Zamawiającego - zakup systemu operacyjnego wiąże się z faktem przeniesienia aktualnie działającego oprogramowania na nowe środowisko serwerowe. System operacyjny w najnowszej dostępnej wersji wraz z aktualizacjami.</w:t>
      </w:r>
      <w:r w:rsidRPr="008D3423">
        <w:rPr>
          <w:rFonts w:asciiTheme="minorHAnsi" w:hAnsiTheme="minorHAnsi" w:cstheme="minorHAnsi"/>
          <w:sz w:val="24"/>
          <w:szCs w:val="24"/>
        </w:rPr>
        <w:tab/>
      </w:r>
    </w:p>
    <w:p w14:paraId="25A72642" w14:textId="77777777" w:rsidR="00C22B94" w:rsidRPr="008D3423" w:rsidRDefault="00C22B94" w:rsidP="00C22B94">
      <w:pPr>
        <w:spacing w:after="1" w:line="240" w:lineRule="auto"/>
        <w:ind w:left="278" w:firstLine="0"/>
        <w:rPr>
          <w:rFonts w:asciiTheme="minorHAnsi" w:hAnsiTheme="minorHAnsi" w:cstheme="minorHAnsi"/>
          <w:sz w:val="24"/>
          <w:szCs w:val="24"/>
        </w:rPr>
      </w:pPr>
      <w:r w:rsidRPr="008D3423">
        <w:rPr>
          <w:rFonts w:asciiTheme="minorHAnsi" w:hAnsiTheme="minorHAnsi" w:cstheme="minorHAnsi"/>
          <w:sz w:val="24"/>
          <w:szCs w:val="24"/>
        </w:rPr>
        <w:t xml:space="preserve">W przypadku dostarczania oprogramowania, równoważnego względem wyspecyfikowanego przez Zamawiającego w SWZ, Wykonawca musi na swoją odpowiedzialność i swój koszt udowodnić, że dostarczane oprogramowanie spełnia wszystkie wymagania i warunki określone w SWZ, w szczególności w zakresie: </w:t>
      </w:r>
    </w:p>
    <w:p w14:paraId="18737CC2" w14:textId="77777777" w:rsidR="00C22B94" w:rsidRPr="008D3423" w:rsidRDefault="00C22B94" w:rsidP="00C22B94">
      <w:pPr>
        <w:pStyle w:val="Akapitzlist"/>
        <w:numPr>
          <w:ilvl w:val="0"/>
          <w:numId w:val="33"/>
        </w:numPr>
        <w:spacing w:after="1" w:line="24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D3423">
        <w:rPr>
          <w:rFonts w:asciiTheme="minorHAnsi" w:hAnsiTheme="minorHAnsi" w:cstheme="minorHAnsi"/>
          <w:sz w:val="24"/>
          <w:szCs w:val="24"/>
        </w:rPr>
        <w:t xml:space="preserve">System operacyjny musi być przeznaczony do zastosowań serwerowych w Środowiskach fizycznych lub wirtualizacyjnych. </w:t>
      </w:r>
    </w:p>
    <w:p w14:paraId="2185DC98" w14:textId="77777777" w:rsidR="00C22B94" w:rsidRPr="008D3423" w:rsidRDefault="00C22B94" w:rsidP="00C22B94">
      <w:pPr>
        <w:numPr>
          <w:ilvl w:val="0"/>
          <w:numId w:val="32"/>
        </w:numPr>
        <w:spacing w:after="3" w:line="24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D3423">
        <w:rPr>
          <w:rFonts w:asciiTheme="minorHAnsi" w:hAnsiTheme="minorHAnsi" w:cstheme="minorHAnsi"/>
          <w:sz w:val="24"/>
          <w:szCs w:val="24"/>
        </w:rPr>
        <w:t xml:space="preserve">System operacyjny musi umożliwiać migrację maszyn wirtualnych bez zatrzymywania ich pracy między fizycznymi serwerami z uruchomionym mechanizmem wirtualizacji (hypervisor) przez sieć Ethernet, bez konieczności stosowania dodatkowych mechanizmów współdzielenia pamięci. </w:t>
      </w:r>
    </w:p>
    <w:p w14:paraId="276C7CF3" w14:textId="77777777" w:rsidR="00C22B94" w:rsidRPr="008D3423" w:rsidRDefault="00C22B94" w:rsidP="00C22B94">
      <w:pPr>
        <w:numPr>
          <w:ilvl w:val="0"/>
          <w:numId w:val="32"/>
        </w:numPr>
        <w:spacing w:after="3" w:line="24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D3423">
        <w:rPr>
          <w:rFonts w:asciiTheme="minorHAnsi" w:hAnsiTheme="minorHAnsi" w:cstheme="minorHAnsi"/>
          <w:sz w:val="24"/>
          <w:szCs w:val="24"/>
        </w:rPr>
        <w:t xml:space="preserve">System operacyjny musi umożliwiać downgrade do poprzedniej wersji rodziny systemów operacyjnych danego producenta. </w:t>
      </w:r>
    </w:p>
    <w:p w14:paraId="080245EE" w14:textId="77777777" w:rsidR="00C22B94" w:rsidRPr="008D3423" w:rsidRDefault="00C22B94" w:rsidP="00C22B94">
      <w:pPr>
        <w:numPr>
          <w:ilvl w:val="0"/>
          <w:numId w:val="32"/>
        </w:numPr>
        <w:spacing w:after="3" w:line="24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D3423">
        <w:rPr>
          <w:rFonts w:asciiTheme="minorHAnsi" w:hAnsiTheme="minorHAnsi" w:cstheme="minorHAnsi"/>
          <w:sz w:val="24"/>
          <w:szCs w:val="24"/>
        </w:rPr>
        <w:t xml:space="preserve">Licencja na system operacyjny musi uwzględniać prawo do bezpłatnej instalacji udostępnianych przez producenta poprawek krytycznych i opcjonalnych do zakupionej wersji oprogramowania co najmniej przez 3 lata. </w:t>
      </w:r>
    </w:p>
    <w:p w14:paraId="5A417228" w14:textId="77777777" w:rsidR="00C22B94" w:rsidRPr="008D3423" w:rsidRDefault="00C22B94" w:rsidP="00C22B94">
      <w:pPr>
        <w:numPr>
          <w:ilvl w:val="0"/>
          <w:numId w:val="32"/>
        </w:numPr>
        <w:spacing w:after="115" w:line="24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D3423">
        <w:rPr>
          <w:rFonts w:asciiTheme="minorHAnsi" w:hAnsiTheme="minorHAnsi" w:cstheme="minorHAnsi"/>
          <w:sz w:val="24"/>
          <w:szCs w:val="24"/>
        </w:rPr>
        <w:t xml:space="preserve">Licencja na system operacyjny musi umożliwiać uruchomienie kontrolera domeny. </w:t>
      </w:r>
    </w:p>
    <w:p w14:paraId="1BC5594D" w14:textId="77777777" w:rsidR="00C22B94" w:rsidRPr="008D3423" w:rsidRDefault="00C22B94" w:rsidP="00C22B94">
      <w:pPr>
        <w:numPr>
          <w:ilvl w:val="0"/>
          <w:numId w:val="32"/>
        </w:numPr>
        <w:spacing w:after="112" w:line="24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D3423">
        <w:rPr>
          <w:rFonts w:asciiTheme="minorHAnsi" w:hAnsiTheme="minorHAnsi" w:cstheme="minorHAnsi"/>
          <w:sz w:val="24"/>
          <w:szCs w:val="24"/>
        </w:rPr>
        <w:t xml:space="preserve">Licencja na system operacyjny musi być bez ograniczeń czasowych. </w:t>
      </w:r>
    </w:p>
    <w:p w14:paraId="7CFFA09B" w14:textId="77777777" w:rsidR="00C22B94" w:rsidRPr="008D3423" w:rsidRDefault="00C22B94" w:rsidP="00C22B94">
      <w:pPr>
        <w:numPr>
          <w:ilvl w:val="0"/>
          <w:numId w:val="32"/>
        </w:numPr>
        <w:spacing w:after="3" w:line="24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D3423">
        <w:rPr>
          <w:rFonts w:asciiTheme="minorHAnsi" w:hAnsiTheme="minorHAnsi" w:cstheme="minorHAnsi"/>
          <w:sz w:val="24"/>
          <w:szCs w:val="24"/>
        </w:rPr>
        <w:t xml:space="preserve">Licencja musi uprawniać do uruchamiania serwerowego systemu operacyjnego (SSO)  w środowisku fizycznym i dwóch wirtualnych środowisk serwerowego systemu operacyjnego za pomocą wbudowanych mechanizmów wirtualizacji. </w:t>
      </w:r>
    </w:p>
    <w:p w14:paraId="75C15F01" w14:textId="77777777" w:rsidR="00C22B94" w:rsidRPr="008D3423" w:rsidRDefault="00C22B94" w:rsidP="00C22B94">
      <w:pPr>
        <w:numPr>
          <w:ilvl w:val="0"/>
          <w:numId w:val="32"/>
        </w:numPr>
        <w:spacing w:after="3" w:line="24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D3423">
        <w:rPr>
          <w:rFonts w:asciiTheme="minorHAnsi" w:hAnsiTheme="minorHAnsi" w:cstheme="minorHAnsi"/>
          <w:sz w:val="24"/>
          <w:szCs w:val="24"/>
        </w:rPr>
        <w:t xml:space="preserve">Zaimplementowanie w systemie operacyjnym środowiska wirtualizacyjnego musi umożliwiać dodawanie i usuwanie pamięci wirtualnej oraz wirtualnych kart sieciowych podczas pracy maszyny wirtualnej. </w:t>
      </w:r>
    </w:p>
    <w:p w14:paraId="16669D94" w14:textId="77777777" w:rsidR="00C22B94" w:rsidRPr="008D3423" w:rsidRDefault="00C22B94" w:rsidP="00C22B94">
      <w:pPr>
        <w:numPr>
          <w:ilvl w:val="0"/>
          <w:numId w:val="32"/>
        </w:numPr>
        <w:spacing w:after="31" w:line="24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D3423">
        <w:rPr>
          <w:rFonts w:asciiTheme="minorHAnsi" w:hAnsiTheme="minorHAnsi" w:cstheme="minorHAnsi"/>
          <w:sz w:val="24"/>
          <w:szCs w:val="24"/>
        </w:rPr>
        <w:t xml:space="preserve">System operacyjny musi posiadać graficzny interfejs użytkownika. System operacyjny musi być w pełni kompatybilny z usługą Active Directory w  zakresie: </w:t>
      </w:r>
    </w:p>
    <w:p w14:paraId="79B8061D" w14:textId="3B9F5441" w:rsidR="00C22B94" w:rsidRPr="008D3423" w:rsidRDefault="00C22B94" w:rsidP="00C22B94">
      <w:pPr>
        <w:numPr>
          <w:ilvl w:val="1"/>
          <w:numId w:val="32"/>
        </w:numPr>
        <w:spacing w:after="148" w:line="240" w:lineRule="auto"/>
        <w:ind w:hanging="240"/>
        <w:rPr>
          <w:rFonts w:asciiTheme="minorHAnsi" w:hAnsiTheme="minorHAnsi" w:cstheme="minorHAnsi"/>
          <w:sz w:val="24"/>
          <w:szCs w:val="24"/>
        </w:rPr>
      </w:pPr>
      <w:r w:rsidRPr="008D3423">
        <w:rPr>
          <w:rFonts w:asciiTheme="minorHAnsi" w:hAnsiTheme="minorHAnsi" w:cstheme="minorHAnsi"/>
          <w:sz w:val="24"/>
          <w:szCs w:val="24"/>
        </w:rPr>
        <w:t>zarządzania użytkownikami</w:t>
      </w:r>
      <w:r w:rsidR="008D3423">
        <w:rPr>
          <w:rFonts w:asciiTheme="minorHAnsi" w:hAnsiTheme="minorHAnsi" w:cstheme="minorHAnsi"/>
          <w:sz w:val="24"/>
          <w:szCs w:val="24"/>
        </w:rPr>
        <w:t>.</w:t>
      </w:r>
    </w:p>
    <w:p w14:paraId="23CF6E17" w14:textId="0EB09C9A" w:rsidR="00C22B94" w:rsidRPr="008D3423" w:rsidRDefault="00C22B94" w:rsidP="00C22B94">
      <w:pPr>
        <w:numPr>
          <w:ilvl w:val="1"/>
          <w:numId w:val="32"/>
        </w:numPr>
        <w:spacing w:after="151" w:line="240" w:lineRule="auto"/>
        <w:ind w:hanging="240"/>
        <w:rPr>
          <w:rFonts w:asciiTheme="minorHAnsi" w:hAnsiTheme="minorHAnsi" w:cstheme="minorHAnsi"/>
          <w:sz w:val="24"/>
          <w:szCs w:val="24"/>
        </w:rPr>
      </w:pPr>
      <w:r w:rsidRPr="008D3423">
        <w:rPr>
          <w:rFonts w:asciiTheme="minorHAnsi" w:hAnsiTheme="minorHAnsi" w:cstheme="minorHAnsi"/>
          <w:sz w:val="24"/>
          <w:szCs w:val="24"/>
        </w:rPr>
        <w:t>zarządzania certyfikatami dla użytkowników</w:t>
      </w:r>
      <w:r w:rsidR="008D3423">
        <w:rPr>
          <w:rFonts w:asciiTheme="minorHAnsi" w:hAnsiTheme="minorHAnsi" w:cstheme="minorHAnsi"/>
          <w:sz w:val="24"/>
          <w:szCs w:val="24"/>
        </w:rPr>
        <w:t>.</w:t>
      </w:r>
      <w:r w:rsidRPr="008D342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BF1D07" w14:textId="6A7009B2" w:rsidR="00C22B94" w:rsidRPr="008D3423" w:rsidRDefault="00C22B94" w:rsidP="00C22B94">
      <w:pPr>
        <w:numPr>
          <w:ilvl w:val="1"/>
          <w:numId w:val="32"/>
        </w:numPr>
        <w:spacing w:after="148" w:line="240" w:lineRule="auto"/>
        <w:ind w:hanging="240"/>
        <w:rPr>
          <w:rFonts w:asciiTheme="minorHAnsi" w:hAnsiTheme="minorHAnsi" w:cstheme="minorHAnsi"/>
          <w:sz w:val="24"/>
          <w:szCs w:val="24"/>
        </w:rPr>
      </w:pPr>
      <w:r w:rsidRPr="008D3423">
        <w:rPr>
          <w:rFonts w:asciiTheme="minorHAnsi" w:hAnsiTheme="minorHAnsi" w:cstheme="minorHAnsi"/>
          <w:sz w:val="24"/>
          <w:szCs w:val="24"/>
        </w:rPr>
        <w:lastRenderedPageBreak/>
        <w:t>możliwości przydzielania prawd ostępu do zasobów sieciowych</w:t>
      </w:r>
      <w:r w:rsidR="008D3423">
        <w:rPr>
          <w:rFonts w:asciiTheme="minorHAnsi" w:hAnsiTheme="minorHAnsi" w:cstheme="minorHAnsi"/>
          <w:sz w:val="24"/>
          <w:szCs w:val="24"/>
        </w:rPr>
        <w:t>.</w:t>
      </w:r>
    </w:p>
    <w:p w14:paraId="29C989FC" w14:textId="72B9FA12" w:rsidR="00C22B94" w:rsidRPr="008D3423" w:rsidRDefault="00C22B94" w:rsidP="00C22B94">
      <w:pPr>
        <w:numPr>
          <w:ilvl w:val="1"/>
          <w:numId w:val="32"/>
        </w:numPr>
        <w:spacing w:after="119" w:line="240" w:lineRule="auto"/>
        <w:ind w:hanging="240"/>
        <w:rPr>
          <w:rFonts w:asciiTheme="minorHAnsi" w:hAnsiTheme="minorHAnsi" w:cstheme="minorHAnsi"/>
          <w:sz w:val="24"/>
          <w:szCs w:val="24"/>
        </w:rPr>
      </w:pPr>
      <w:r w:rsidRPr="008D3423">
        <w:rPr>
          <w:rFonts w:asciiTheme="minorHAnsi" w:hAnsiTheme="minorHAnsi" w:cstheme="minorHAnsi"/>
          <w:sz w:val="24"/>
          <w:szCs w:val="24"/>
        </w:rPr>
        <w:t>instalacji zdalnej oprogramowania z pakietów msi</w:t>
      </w:r>
      <w:r w:rsidR="008D3423">
        <w:rPr>
          <w:rFonts w:asciiTheme="minorHAnsi" w:hAnsiTheme="minorHAnsi" w:cstheme="minorHAnsi"/>
          <w:sz w:val="24"/>
          <w:szCs w:val="24"/>
        </w:rPr>
        <w:t>.</w:t>
      </w:r>
      <w:r w:rsidRPr="008D342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BF465D" w14:textId="6730CF19" w:rsidR="00C22B94" w:rsidRPr="008D3423" w:rsidRDefault="00C22B94" w:rsidP="00C22B94">
      <w:pPr>
        <w:numPr>
          <w:ilvl w:val="1"/>
          <w:numId w:val="32"/>
        </w:numPr>
        <w:spacing w:after="3" w:line="240" w:lineRule="auto"/>
        <w:ind w:hanging="240"/>
        <w:rPr>
          <w:rFonts w:asciiTheme="minorHAnsi" w:hAnsiTheme="minorHAnsi" w:cstheme="minorHAnsi"/>
          <w:sz w:val="24"/>
          <w:szCs w:val="24"/>
        </w:rPr>
      </w:pPr>
      <w:r w:rsidRPr="008D3423">
        <w:rPr>
          <w:rFonts w:asciiTheme="minorHAnsi" w:hAnsiTheme="minorHAnsi" w:cstheme="minorHAnsi"/>
          <w:sz w:val="24"/>
          <w:szCs w:val="24"/>
        </w:rPr>
        <w:t>definiowanie polityk bezpieczeństwa dla użytkowników, grup oraz stacji roboczych z systemami MS Windows:7,8,8.1,10</w:t>
      </w:r>
      <w:r w:rsidR="008D3423">
        <w:rPr>
          <w:rFonts w:asciiTheme="minorHAnsi" w:hAnsiTheme="minorHAnsi" w:cstheme="minorHAnsi"/>
          <w:sz w:val="24"/>
          <w:szCs w:val="24"/>
        </w:rPr>
        <w:t>.</w:t>
      </w:r>
    </w:p>
    <w:p w14:paraId="4BFB3201" w14:textId="77777777" w:rsidR="00C22B94" w:rsidRPr="008D3423" w:rsidRDefault="00C22B94" w:rsidP="00C22B94">
      <w:pPr>
        <w:numPr>
          <w:ilvl w:val="0"/>
          <w:numId w:val="32"/>
        </w:numPr>
        <w:spacing w:after="3" w:line="240" w:lineRule="auto"/>
        <w:ind w:left="567" w:hanging="299"/>
        <w:rPr>
          <w:rFonts w:asciiTheme="minorHAnsi" w:hAnsiTheme="minorHAnsi" w:cstheme="minorHAnsi"/>
          <w:sz w:val="24"/>
          <w:szCs w:val="24"/>
        </w:rPr>
      </w:pPr>
      <w:r w:rsidRPr="008D3423">
        <w:rPr>
          <w:rFonts w:asciiTheme="minorHAnsi" w:hAnsiTheme="minorHAnsi" w:cstheme="minorHAnsi"/>
          <w:sz w:val="24"/>
          <w:szCs w:val="24"/>
        </w:rPr>
        <w:t xml:space="preserve">System operacyjny musi wspierać pracę domenową wraz z automatyczną synchronizacją dla dodatkowych serwerów. </w:t>
      </w:r>
    </w:p>
    <w:p w14:paraId="7EBA307E" w14:textId="77777777" w:rsidR="00C22B94" w:rsidRPr="008D3423" w:rsidRDefault="00C22B94" w:rsidP="00C22B94">
      <w:pPr>
        <w:numPr>
          <w:ilvl w:val="0"/>
          <w:numId w:val="32"/>
        </w:numPr>
        <w:spacing w:after="3" w:line="240" w:lineRule="auto"/>
        <w:ind w:left="567" w:hanging="299"/>
        <w:rPr>
          <w:rFonts w:asciiTheme="minorHAnsi" w:hAnsiTheme="minorHAnsi" w:cstheme="minorHAnsi"/>
          <w:sz w:val="24"/>
          <w:szCs w:val="24"/>
        </w:rPr>
      </w:pPr>
      <w:r w:rsidRPr="008D3423">
        <w:rPr>
          <w:rFonts w:asciiTheme="minorHAnsi" w:hAnsiTheme="minorHAnsi" w:cstheme="minorHAnsi"/>
          <w:sz w:val="24"/>
          <w:szCs w:val="24"/>
        </w:rPr>
        <w:t xml:space="preserve">System operacyjny musi wspierać zarządzanie przez dostępne narzędzia administracji serwera dla systemu Windows 10 (RSAT) oraz Windows Admin Center. </w:t>
      </w:r>
    </w:p>
    <w:p w14:paraId="47E353B3" w14:textId="77777777" w:rsidR="00C22B94" w:rsidRPr="008D3423" w:rsidRDefault="00C22B94" w:rsidP="00C22B94">
      <w:pPr>
        <w:numPr>
          <w:ilvl w:val="0"/>
          <w:numId w:val="32"/>
        </w:numPr>
        <w:spacing w:after="115" w:line="240" w:lineRule="auto"/>
        <w:ind w:left="567" w:hanging="299"/>
        <w:rPr>
          <w:rFonts w:asciiTheme="minorHAnsi" w:hAnsiTheme="minorHAnsi" w:cstheme="minorHAnsi"/>
          <w:sz w:val="24"/>
          <w:szCs w:val="24"/>
        </w:rPr>
      </w:pPr>
      <w:r w:rsidRPr="008D3423">
        <w:rPr>
          <w:rFonts w:asciiTheme="minorHAnsi" w:hAnsiTheme="minorHAnsi" w:cstheme="minorHAnsi"/>
          <w:sz w:val="24"/>
          <w:szCs w:val="24"/>
        </w:rPr>
        <w:t xml:space="preserve">System operacyjny musi posiadać obsługę zdalnego pulpitu poprzez protokół RDP. </w:t>
      </w:r>
    </w:p>
    <w:p w14:paraId="770ED2AA" w14:textId="77777777" w:rsidR="00C22B94" w:rsidRPr="008D3423" w:rsidRDefault="00C22B94" w:rsidP="00C22B94">
      <w:pPr>
        <w:numPr>
          <w:ilvl w:val="0"/>
          <w:numId w:val="32"/>
        </w:numPr>
        <w:spacing w:after="3" w:line="240" w:lineRule="auto"/>
        <w:ind w:left="567" w:hanging="299"/>
        <w:rPr>
          <w:rFonts w:asciiTheme="minorHAnsi" w:hAnsiTheme="minorHAnsi" w:cstheme="minorHAnsi"/>
          <w:sz w:val="24"/>
          <w:szCs w:val="24"/>
        </w:rPr>
      </w:pPr>
      <w:r w:rsidRPr="008D3423">
        <w:rPr>
          <w:rFonts w:asciiTheme="minorHAnsi" w:hAnsiTheme="minorHAnsi" w:cstheme="minorHAnsi"/>
          <w:sz w:val="24"/>
          <w:szCs w:val="24"/>
        </w:rPr>
        <w:t xml:space="preserve">System operacyjny musi umożliwiać ustawianie relacji zaufania pomiędzy domenami. - Wszystkie narzędzia i usługi systemu operacyjnego powinny być rozwiązaniem jednego producenta. </w:t>
      </w:r>
    </w:p>
    <w:p w14:paraId="0EB4BF65" w14:textId="77777777" w:rsidR="00C22B94" w:rsidRPr="008D3423" w:rsidRDefault="00C22B94" w:rsidP="00C22B94">
      <w:pPr>
        <w:numPr>
          <w:ilvl w:val="0"/>
          <w:numId w:val="32"/>
        </w:numPr>
        <w:spacing w:after="3" w:line="240" w:lineRule="auto"/>
        <w:ind w:left="567" w:hanging="299"/>
        <w:rPr>
          <w:rFonts w:asciiTheme="minorHAnsi" w:hAnsiTheme="minorHAnsi" w:cstheme="minorHAnsi"/>
          <w:sz w:val="24"/>
          <w:szCs w:val="24"/>
        </w:rPr>
      </w:pPr>
      <w:r w:rsidRPr="008D3423">
        <w:rPr>
          <w:rFonts w:asciiTheme="minorHAnsi" w:hAnsiTheme="minorHAnsi" w:cstheme="minorHAnsi"/>
          <w:sz w:val="24"/>
          <w:szCs w:val="24"/>
        </w:rPr>
        <w:t xml:space="preserve">System operacyjny musi posiadać obsługę pamięci USB jako monitora klastra. - System operacyjny musi pozwalać na stopniowe uaktualnienia systemu operacyjnego klastra. </w:t>
      </w:r>
    </w:p>
    <w:p w14:paraId="471F2E14" w14:textId="77777777" w:rsidR="00C22B94" w:rsidRPr="008D3423" w:rsidRDefault="00C22B94" w:rsidP="00C22B94">
      <w:pPr>
        <w:numPr>
          <w:ilvl w:val="0"/>
          <w:numId w:val="32"/>
        </w:numPr>
        <w:spacing w:after="3" w:line="240" w:lineRule="auto"/>
        <w:ind w:left="567" w:hanging="299"/>
        <w:rPr>
          <w:rFonts w:asciiTheme="minorHAnsi" w:hAnsiTheme="minorHAnsi" w:cstheme="minorHAnsi"/>
          <w:sz w:val="24"/>
          <w:szCs w:val="24"/>
        </w:rPr>
      </w:pPr>
      <w:r w:rsidRPr="008D3423">
        <w:rPr>
          <w:rFonts w:asciiTheme="minorHAnsi" w:hAnsiTheme="minorHAnsi" w:cstheme="minorHAnsi"/>
          <w:sz w:val="24"/>
          <w:szCs w:val="24"/>
        </w:rPr>
        <w:t xml:space="preserve">System operacyjny musi posiadać obsługę de duplikacji na potrzeby systemu plików ReFS. </w:t>
      </w:r>
    </w:p>
    <w:p w14:paraId="12378B70" w14:textId="77777777" w:rsidR="00C22B94" w:rsidRPr="008D3423" w:rsidRDefault="00C22B94" w:rsidP="00C22B94">
      <w:pPr>
        <w:numPr>
          <w:ilvl w:val="0"/>
          <w:numId w:val="32"/>
        </w:numPr>
        <w:spacing w:after="3" w:line="240" w:lineRule="auto"/>
        <w:ind w:left="567" w:hanging="299"/>
        <w:rPr>
          <w:rFonts w:asciiTheme="minorHAnsi" w:hAnsiTheme="minorHAnsi" w:cstheme="minorHAnsi"/>
          <w:sz w:val="24"/>
          <w:szCs w:val="24"/>
        </w:rPr>
      </w:pPr>
      <w:r w:rsidRPr="008D3423">
        <w:rPr>
          <w:rFonts w:asciiTheme="minorHAnsi" w:hAnsiTheme="minorHAnsi" w:cstheme="minorHAnsi"/>
          <w:sz w:val="24"/>
          <w:szCs w:val="24"/>
        </w:rPr>
        <w:t xml:space="preserve">System operacyjny musi posiadać wbudowane szyfrowanie dysków przy pomocy mechanizmów posiadających certyfikat FIPS 140-2 lub równoważny wydany przez NIST lub inną agendę rządową zajmującą się bezpieczeństwem informacji. </w:t>
      </w:r>
    </w:p>
    <w:p w14:paraId="77ECF6D0" w14:textId="77777777" w:rsidR="00C22B94" w:rsidRPr="008D3423" w:rsidRDefault="00C22B94" w:rsidP="00C22B94">
      <w:pPr>
        <w:numPr>
          <w:ilvl w:val="0"/>
          <w:numId w:val="32"/>
        </w:numPr>
        <w:spacing w:after="3" w:line="240" w:lineRule="auto"/>
        <w:ind w:left="567" w:hanging="299"/>
        <w:rPr>
          <w:rFonts w:asciiTheme="minorHAnsi" w:hAnsiTheme="minorHAnsi" w:cstheme="minorHAnsi"/>
          <w:sz w:val="24"/>
          <w:szCs w:val="24"/>
        </w:rPr>
      </w:pPr>
      <w:r w:rsidRPr="008D3423">
        <w:rPr>
          <w:rFonts w:asciiTheme="minorHAnsi" w:hAnsiTheme="minorHAnsi" w:cstheme="minorHAnsi"/>
          <w:sz w:val="24"/>
          <w:szCs w:val="24"/>
        </w:rPr>
        <w:t xml:space="preserve">System operacyjny musi posiadać możliwość uruchamianie aplikacji internetowych wykorzystujących technologię ASP.NET. </w:t>
      </w:r>
    </w:p>
    <w:p w14:paraId="58C5936E" w14:textId="77777777" w:rsidR="00C22B94" w:rsidRPr="008D3423" w:rsidRDefault="00C22B94" w:rsidP="00C22B94">
      <w:pPr>
        <w:numPr>
          <w:ilvl w:val="0"/>
          <w:numId w:val="32"/>
        </w:numPr>
        <w:spacing w:after="3" w:line="240" w:lineRule="auto"/>
        <w:ind w:left="567" w:hanging="299"/>
        <w:rPr>
          <w:rFonts w:asciiTheme="minorHAnsi" w:hAnsiTheme="minorHAnsi" w:cstheme="minorHAnsi"/>
          <w:sz w:val="24"/>
          <w:szCs w:val="24"/>
        </w:rPr>
      </w:pPr>
      <w:r w:rsidRPr="008D3423">
        <w:rPr>
          <w:rFonts w:asciiTheme="minorHAnsi" w:hAnsiTheme="minorHAnsi" w:cstheme="minorHAnsi"/>
          <w:sz w:val="24"/>
          <w:szCs w:val="24"/>
        </w:rPr>
        <w:t xml:space="preserve">System operacyjny musi posiadać możliwość dystrybucji ruchu sieciowego HTTP pomiędzy kilka serwerów. </w:t>
      </w:r>
    </w:p>
    <w:p w14:paraId="2EB5C531" w14:textId="77777777" w:rsidR="00C22B94" w:rsidRPr="008D3423" w:rsidRDefault="00C22B94" w:rsidP="00C22B94">
      <w:pPr>
        <w:numPr>
          <w:ilvl w:val="0"/>
          <w:numId w:val="32"/>
        </w:numPr>
        <w:spacing w:after="3" w:line="240" w:lineRule="auto"/>
        <w:ind w:left="567" w:hanging="299"/>
        <w:rPr>
          <w:rFonts w:asciiTheme="minorHAnsi" w:hAnsiTheme="minorHAnsi" w:cstheme="minorHAnsi"/>
          <w:sz w:val="24"/>
          <w:szCs w:val="24"/>
        </w:rPr>
      </w:pPr>
      <w:r w:rsidRPr="008D3423">
        <w:rPr>
          <w:rFonts w:asciiTheme="minorHAnsi" w:hAnsiTheme="minorHAnsi" w:cstheme="minorHAnsi"/>
          <w:sz w:val="24"/>
          <w:szCs w:val="24"/>
        </w:rPr>
        <w:t xml:space="preserve">System operacyjny musi posiadać obsługę optymalizacji transportu w tle pod kątem opóźnień. </w:t>
      </w:r>
    </w:p>
    <w:p w14:paraId="0E5AC7AA" w14:textId="77777777" w:rsidR="00C22B94" w:rsidRPr="008D3423" w:rsidRDefault="00C22B94" w:rsidP="00C22B94">
      <w:pPr>
        <w:numPr>
          <w:ilvl w:val="0"/>
          <w:numId w:val="32"/>
        </w:numPr>
        <w:spacing w:after="1" w:line="240" w:lineRule="auto"/>
        <w:ind w:left="567" w:hanging="299"/>
        <w:rPr>
          <w:rFonts w:asciiTheme="minorHAnsi" w:hAnsiTheme="minorHAnsi" w:cstheme="minorHAnsi"/>
          <w:sz w:val="24"/>
          <w:szCs w:val="24"/>
        </w:rPr>
      </w:pPr>
      <w:r w:rsidRPr="008D3423">
        <w:rPr>
          <w:rFonts w:asciiTheme="minorHAnsi" w:hAnsiTheme="minorHAnsi" w:cstheme="minorHAnsi"/>
          <w:sz w:val="24"/>
          <w:szCs w:val="24"/>
        </w:rPr>
        <w:t xml:space="preserve">System operacyjny musi posiadać wbudowaną zaporę internetową (firewall) dla ochrony połączeń internetowych; zapora musi być zintegrowana z systemem konsoli do zarządzania ustawieniami zapory i regułami ip v4 i v6. </w:t>
      </w:r>
    </w:p>
    <w:p w14:paraId="4BAA7696" w14:textId="77777777" w:rsidR="00C22B94" w:rsidRPr="008D3423" w:rsidRDefault="00C22B94" w:rsidP="00C22B94">
      <w:pPr>
        <w:numPr>
          <w:ilvl w:val="0"/>
          <w:numId w:val="32"/>
        </w:numPr>
        <w:spacing w:after="3" w:line="240" w:lineRule="auto"/>
        <w:ind w:left="567" w:hanging="299"/>
        <w:rPr>
          <w:rFonts w:asciiTheme="minorHAnsi" w:hAnsiTheme="minorHAnsi" w:cstheme="minorHAnsi"/>
          <w:sz w:val="24"/>
          <w:szCs w:val="24"/>
        </w:rPr>
      </w:pPr>
      <w:r w:rsidRPr="008D3423">
        <w:rPr>
          <w:rFonts w:asciiTheme="minorHAnsi" w:hAnsiTheme="minorHAnsi" w:cstheme="minorHAnsi"/>
          <w:sz w:val="24"/>
          <w:szCs w:val="24"/>
        </w:rPr>
        <w:t xml:space="preserve">System operacyjny musi posiadać możliwość uruchomienia serwera DNS z możliwością integracji z kontrolerem domeny. </w:t>
      </w:r>
    </w:p>
    <w:p w14:paraId="65942A50" w14:textId="77777777" w:rsidR="00C22B94" w:rsidRPr="008D3423" w:rsidRDefault="00C22B94" w:rsidP="00C22B94">
      <w:pPr>
        <w:numPr>
          <w:ilvl w:val="0"/>
          <w:numId w:val="32"/>
        </w:numPr>
        <w:spacing w:after="3" w:line="240" w:lineRule="auto"/>
        <w:ind w:left="567" w:hanging="299"/>
        <w:rPr>
          <w:rFonts w:asciiTheme="minorHAnsi" w:hAnsiTheme="minorHAnsi" w:cstheme="minorHAnsi"/>
          <w:sz w:val="24"/>
          <w:szCs w:val="24"/>
        </w:rPr>
      </w:pPr>
      <w:r w:rsidRPr="008D3423">
        <w:rPr>
          <w:rFonts w:asciiTheme="minorHAnsi" w:hAnsiTheme="minorHAnsi" w:cstheme="minorHAnsi"/>
          <w:sz w:val="24"/>
          <w:szCs w:val="24"/>
        </w:rPr>
        <w:t xml:space="preserve">System operacyjny musi posiadać możliwość zdalnej automatycznej instalacji, konfiguracji, administrowania oraz aktualizowania systemu. </w:t>
      </w:r>
    </w:p>
    <w:p w14:paraId="00282665" w14:textId="77777777" w:rsidR="00C22B94" w:rsidRPr="008D3423" w:rsidRDefault="00C22B94" w:rsidP="00C22B94">
      <w:pPr>
        <w:numPr>
          <w:ilvl w:val="0"/>
          <w:numId w:val="32"/>
        </w:numPr>
        <w:spacing w:after="112" w:line="240" w:lineRule="auto"/>
        <w:ind w:left="567" w:hanging="299"/>
        <w:rPr>
          <w:rFonts w:asciiTheme="minorHAnsi" w:hAnsiTheme="minorHAnsi" w:cstheme="minorHAnsi"/>
          <w:sz w:val="24"/>
          <w:szCs w:val="24"/>
        </w:rPr>
      </w:pPr>
      <w:r w:rsidRPr="008D3423">
        <w:rPr>
          <w:rFonts w:asciiTheme="minorHAnsi" w:hAnsiTheme="minorHAnsi" w:cstheme="minorHAnsi"/>
          <w:sz w:val="24"/>
          <w:szCs w:val="24"/>
        </w:rPr>
        <w:t xml:space="preserve">System operacyjny musi posiadać obsługę PowerShelI 5.1. </w:t>
      </w:r>
    </w:p>
    <w:p w14:paraId="1F559050" w14:textId="77777777" w:rsidR="00C22B94" w:rsidRPr="008D3423" w:rsidRDefault="00C22B94" w:rsidP="00C22B94">
      <w:pPr>
        <w:numPr>
          <w:ilvl w:val="0"/>
          <w:numId w:val="32"/>
        </w:numPr>
        <w:spacing w:after="115" w:line="240" w:lineRule="auto"/>
        <w:ind w:left="567" w:hanging="299"/>
        <w:rPr>
          <w:rFonts w:asciiTheme="minorHAnsi" w:hAnsiTheme="minorHAnsi" w:cstheme="minorHAnsi"/>
          <w:sz w:val="24"/>
          <w:szCs w:val="24"/>
        </w:rPr>
      </w:pPr>
      <w:r w:rsidRPr="008D3423">
        <w:rPr>
          <w:rFonts w:asciiTheme="minorHAnsi" w:hAnsiTheme="minorHAnsi" w:cstheme="minorHAnsi"/>
          <w:sz w:val="24"/>
          <w:szCs w:val="24"/>
        </w:rPr>
        <w:t xml:space="preserve">System operacyjny musi posiada obsługę certyfikatów w Active Directory. </w:t>
      </w:r>
    </w:p>
    <w:p w14:paraId="308E1991" w14:textId="77777777" w:rsidR="00C22B94" w:rsidRPr="008D3423" w:rsidRDefault="00C22B94" w:rsidP="00C22B94">
      <w:pPr>
        <w:spacing w:after="112" w:line="240" w:lineRule="auto"/>
        <w:ind w:left="283"/>
        <w:rPr>
          <w:rFonts w:asciiTheme="minorHAnsi" w:hAnsiTheme="minorHAnsi" w:cstheme="minorHAnsi"/>
          <w:sz w:val="24"/>
          <w:szCs w:val="24"/>
        </w:rPr>
      </w:pPr>
      <w:r w:rsidRPr="008D342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77A2FF" w14:textId="77777777" w:rsidR="00C22B94" w:rsidRPr="008D3423" w:rsidRDefault="00C22B94" w:rsidP="00C22B94">
      <w:pPr>
        <w:spacing w:after="1" w:line="240" w:lineRule="auto"/>
        <w:ind w:left="278" w:firstLine="0"/>
        <w:rPr>
          <w:rFonts w:asciiTheme="minorHAnsi" w:hAnsiTheme="minorHAnsi" w:cstheme="minorHAnsi"/>
          <w:sz w:val="24"/>
          <w:szCs w:val="24"/>
        </w:rPr>
      </w:pPr>
      <w:r w:rsidRPr="008D3423">
        <w:rPr>
          <w:rFonts w:asciiTheme="minorHAnsi" w:hAnsiTheme="minorHAnsi" w:cstheme="minorHAnsi"/>
          <w:sz w:val="24"/>
          <w:szCs w:val="24"/>
        </w:rPr>
        <w:t xml:space="preserve">Wszystkie wymienione powyżej parametry, role, funkcje, itp. systemu operacyjnego objęte muszą być dostarczoną licencją (licencjami) i zawarte w dostarczonej wersji  oprogramowania (nie wymagają ponoszenia przez Zamawiającego dodatkowych kosztów). </w:t>
      </w:r>
    </w:p>
    <w:p w14:paraId="1B45971B" w14:textId="77777777" w:rsidR="00C22B94" w:rsidRPr="008D3423" w:rsidRDefault="00C22B94" w:rsidP="00C22B94">
      <w:pPr>
        <w:spacing w:line="240" w:lineRule="auto"/>
        <w:ind w:firstLine="0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57C29D81" w14:textId="6D2908B9" w:rsidR="00C22B94" w:rsidRPr="008D3423" w:rsidRDefault="00C22B94" w:rsidP="00C22B94">
      <w:pPr>
        <w:spacing w:line="240" w:lineRule="auto"/>
        <w:ind w:firstLine="0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78D25E7C" w14:textId="5F2D906E" w:rsidR="00C22B94" w:rsidRPr="008D3423" w:rsidRDefault="00C22B94" w:rsidP="008D3423">
      <w:pPr>
        <w:pStyle w:val="Akapitzlist"/>
        <w:numPr>
          <w:ilvl w:val="0"/>
          <w:numId w:val="34"/>
        </w:numPr>
        <w:spacing w:line="240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Kryteria równoważności dla Microsoft SQL Server 2019 Standard:</w:t>
      </w:r>
    </w:p>
    <w:p w14:paraId="397FBFBF" w14:textId="77777777" w:rsidR="00C22B94" w:rsidRPr="008D3423" w:rsidRDefault="00C22B94" w:rsidP="00C22B94">
      <w:pPr>
        <w:spacing w:line="240" w:lineRule="auto"/>
        <w:ind w:left="349" w:firstLine="0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</w:p>
    <w:p w14:paraId="74EBD03C" w14:textId="77777777" w:rsidR="00C22B94" w:rsidRPr="008D3423" w:rsidRDefault="00C22B94" w:rsidP="00C22B94">
      <w:pPr>
        <w:spacing w:line="240" w:lineRule="auto"/>
        <w:ind w:left="284" w:right="141" w:firstLine="0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Zamawiający dopuszcza możliwość dostawy licencji oprogramowania równoważnego, o parametrach nie gorszych niż wskazane, o ile będzie to oprogramowanie w pełni zgodne i kompatybilne z aplikacjami Simple ERP, Sage Kadry i Płace Sage Symfonia Finanse i Księgowość oraz spełniające </w:t>
      </w:r>
    </w:p>
    <w:p w14:paraId="15A08370" w14:textId="5685DF54" w:rsidR="00C22B94" w:rsidRPr="008D3423" w:rsidRDefault="00C22B94" w:rsidP="00C22B94">
      <w:pPr>
        <w:spacing w:line="240" w:lineRule="auto"/>
        <w:ind w:right="141" w:firstLine="284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poniższe wymagania minimalne:</w:t>
      </w:r>
    </w:p>
    <w:p w14:paraId="49DF1A0E" w14:textId="68D56CE9" w:rsidR="00C22B94" w:rsidRPr="008D3423" w:rsidRDefault="00C22B94" w:rsidP="00C22B94">
      <w:pPr>
        <w:pStyle w:val="Akapitzlist"/>
        <w:numPr>
          <w:ilvl w:val="0"/>
          <w:numId w:val="28"/>
        </w:numPr>
        <w:spacing w:line="240" w:lineRule="auto"/>
        <w:ind w:left="284" w:right="141" w:hanging="284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Oprogramowanie silnika baz danych przeznaczone do instalacji w ramach lokalnej infrastruktury  sprzętowej i programowej posiadanej przez Zamawiającego. Silnik zostanie zainstalowany na serwerze Microsoft Windows Server Standard 2022 Standard lub alternatywnie instancja zgodnego </w:t>
      </w:r>
      <w:r w:rsidRP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lastRenderedPageBreak/>
        <w:t>systemu operacyjnego dostarczonego przez Wykonawcę wraz z silnikiem baz danych może być zainstalowana na maszynie wirtualnej działającej pod kontrolą Microsoft Hyper-V</w:t>
      </w:r>
      <w:r w:rsid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.</w:t>
      </w:r>
    </w:p>
    <w:p w14:paraId="0EF77809" w14:textId="65E33EEC" w:rsidR="00C22B94" w:rsidRPr="008D3423" w:rsidRDefault="00C22B94" w:rsidP="00C22B94">
      <w:pPr>
        <w:pStyle w:val="Akapitzlist"/>
        <w:numPr>
          <w:ilvl w:val="0"/>
          <w:numId w:val="28"/>
        </w:numPr>
        <w:spacing w:line="240" w:lineRule="auto"/>
        <w:ind w:left="284" w:right="141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Ilość oferowanych licencji oprogramowania silnika baz danych musi zapewnić wykorzystanie mocy obliczeniowej min. 8 rdzeni procesora oraz min. 32GB pamięci RAM</w:t>
      </w:r>
      <w:r w:rsid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.</w:t>
      </w:r>
    </w:p>
    <w:p w14:paraId="46C4A8CB" w14:textId="1C95807E" w:rsidR="00C22B94" w:rsidRPr="008D3423" w:rsidRDefault="00C22B94" w:rsidP="00C22B94">
      <w:pPr>
        <w:pStyle w:val="Akapitzlist"/>
        <w:numPr>
          <w:ilvl w:val="0"/>
          <w:numId w:val="28"/>
        </w:numPr>
        <w:spacing w:line="240" w:lineRule="auto"/>
        <w:ind w:left="284" w:right="141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Ilość oferowanych licencji oprogramowania silnika baz danych musi umożliwiać pełne wykorzystanie silnika dla min. 3 użytkowników z nieograniczonej puli stanowisk dostępowych</w:t>
      </w:r>
      <w:r w:rsid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.</w:t>
      </w:r>
    </w:p>
    <w:p w14:paraId="018C3E14" w14:textId="77777777" w:rsidR="00C22B94" w:rsidRPr="008D3423" w:rsidRDefault="00C22B94" w:rsidP="00C22B94">
      <w:pPr>
        <w:pStyle w:val="Akapitzlist"/>
        <w:numPr>
          <w:ilvl w:val="0"/>
          <w:numId w:val="28"/>
        </w:numPr>
        <w:spacing w:line="240" w:lineRule="auto"/>
        <w:ind w:left="284" w:right="141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Zarządzanie silnikiem baz danych dostępne będzie z poziomu narzędzia graficznego (aplikacja typu desktop lub aplikacja obsługiwana w przeglądarce WWW). Wszystkie funkcje zarządzania muszą być dostępne lokalnie bez wymaganego dostępu do sieci Internet. Narzędzie graficzne do zarządzania silnikiem musi zapewniać możliwość zarządzania i konfiguracji wszystkich usług implementowanych przez silnik baz danych. </w:t>
      </w:r>
    </w:p>
    <w:p w14:paraId="7C363FEE" w14:textId="3A7E8937" w:rsidR="00C22B94" w:rsidRPr="008D3423" w:rsidRDefault="00C22B94" w:rsidP="00C22B94">
      <w:pPr>
        <w:pStyle w:val="Akapitzlist"/>
        <w:numPr>
          <w:ilvl w:val="0"/>
          <w:numId w:val="28"/>
        </w:numPr>
        <w:spacing w:line="240" w:lineRule="auto"/>
        <w:ind w:left="284" w:right="141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Dostępna funkcja profilowania silnika baz danych, rejestrująca określone wg filtra zapytania spływające do silnika baz danych w czasie rzeczywistym w formie dziennika zdarzeń, której zadaniem będzie identyfikacja ewentualnych problemów lub błędów w działaniu aplikacji</w:t>
      </w:r>
      <w:r w:rsid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.</w:t>
      </w:r>
    </w:p>
    <w:p w14:paraId="483F9648" w14:textId="77777777" w:rsidR="00C22B94" w:rsidRPr="008D3423" w:rsidRDefault="00C22B94" w:rsidP="00C22B94">
      <w:pPr>
        <w:pStyle w:val="Akapitzlist"/>
        <w:numPr>
          <w:ilvl w:val="0"/>
          <w:numId w:val="28"/>
        </w:numPr>
        <w:spacing w:line="240" w:lineRule="auto"/>
        <w:ind w:left="284" w:right="141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Zarządzanie silnikiem baz danych dostępne będzie z poziomu narzędzia linii poleceń umożliwiające automatyzację czynności administracyjnych, min.:</w:t>
      </w:r>
    </w:p>
    <w:p w14:paraId="4A752119" w14:textId="77777777" w:rsidR="00C22B94" w:rsidRPr="008D3423" w:rsidRDefault="00C22B94" w:rsidP="00C22B94">
      <w:pPr>
        <w:pStyle w:val="Akapitzlist"/>
        <w:numPr>
          <w:ilvl w:val="0"/>
          <w:numId w:val="28"/>
        </w:numPr>
        <w:spacing w:line="240" w:lineRule="auto"/>
        <w:ind w:left="284" w:right="141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Wykonywanie zadań kopii zapasowych</w:t>
      </w:r>
    </w:p>
    <w:p w14:paraId="0A8386DD" w14:textId="77777777" w:rsidR="00C22B94" w:rsidRPr="008D3423" w:rsidRDefault="00C22B94" w:rsidP="00C22B94">
      <w:pPr>
        <w:pStyle w:val="Akapitzlist"/>
        <w:numPr>
          <w:ilvl w:val="0"/>
          <w:numId w:val="28"/>
        </w:numPr>
        <w:spacing w:line="240" w:lineRule="auto"/>
        <w:ind w:left="284" w:right="141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Zarządzanie kontami użytkowników</w:t>
      </w:r>
    </w:p>
    <w:p w14:paraId="72D98A66" w14:textId="77777777" w:rsidR="00C22B94" w:rsidRPr="008D3423" w:rsidRDefault="00C22B94" w:rsidP="00C22B94">
      <w:pPr>
        <w:pStyle w:val="Akapitzlist"/>
        <w:numPr>
          <w:ilvl w:val="0"/>
          <w:numId w:val="28"/>
        </w:numPr>
        <w:spacing w:line="240" w:lineRule="auto"/>
        <w:ind w:left="284" w:right="141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Zarządzanie uprawnieniami użytkowników</w:t>
      </w:r>
    </w:p>
    <w:p w14:paraId="1E9F5B26" w14:textId="77777777" w:rsidR="00C22B94" w:rsidRPr="008D3423" w:rsidRDefault="00C22B94" w:rsidP="00C22B94">
      <w:pPr>
        <w:pStyle w:val="Akapitzlist"/>
        <w:numPr>
          <w:ilvl w:val="0"/>
          <w:numId w:val="28"/>
        </w:numPr>
        <w:spacing w:line="240" w:lineRule="auto"/>
        <w:ind w:left="284" w:right="141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Zarządzanie pracą silnika baz danych (min. akcje uruchomienia i zatrzymania pracy silnika)</w:t>
      </w:r>
    </w:p>
    <w:p w14:paraId="62789074" w14:textId="36895156" w:rsidR="00C22B94" w:rsidRPr="008D3423" w:rsidRDefault="00C22B94" w:rsidP="00C22B94">
      <w:pPr>
        <w:pStyle w:val="Akapitzlist"/>
        <w:numPr>
          <w:ilvl w:val="0"/>
          <w:numId w:val="31"/>
        </w:numPr>
        <w:spacing w:line="240" w:lineRule="auto"/>
        <w:ind w:left="284" w:right="141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Wykonywanie zapisanych skryptów poleceń SQL z obsługą przekierowywania wyjścia na standardowe wyjście konsoli lub do pliku</w:t>
      </w:r>
      <w:r w:rsid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.</w:t>
      </w:r>
    </w:p>
    <w:p w14:paraId="464A8F34" w14:textId="3B476264" w:rsidR="00C22B94" w:rsidRPr="008D3423" w:rsidRDefault="00C22B94" w:rsidP="00C22B94">
      <w:pPr>
        <w:pStyle w:val="Akapitzlist"/>
        <w:numPr>
          <w:ilvl w:val="0"/>
          <w:numId w:val="31"/>
        </w:numPr>
        <w:spacing w:line="240" w:lineRule="auto"/>
        <w:ind w:left="284" w:right="141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Obsługa aktualizacji automatycznych dla silnika musi umożliwiać automatyczne ściąganie i instalację poprawek bezpieczeństwa producenta oprogramowania dla minimalizacji zagrożeń powodowanych przez wykryte luki w zabezpieczeniach oprogramowania silnika</w:t>
      </w:r>
      <w:r w:rsid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.</w:t>
      </w:r>
    </w:p>
    <w:p w14:paraId="3564884C" w14:textId="7D6751F0" w:rsidR="00C22B94" w:rsidRPr="008D3423" w:rsidRDefault="00C22B94" w:rsidP="00C22B94">
      <w:pPr>
        <w:pStyle w:val="Akapitzlist"/>
        <w:numPr>
          <w:ilvl w:val="0"/>
          <w:numId w:val="31"/>
        </w:numPr>
        <w:spacing w:line="240" w:lineRule="auto"/>
        <w:ind w:left="284" w:right="141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Silnik baz danych musi posiadać mechanizm pozwalający na duplikację określonych baz danych między dwiema instancjami, zapewniający replikację danych w czasie rzeczywistym</w:t>
      </w:r>
      <w:r w:rsid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.</w:t>
      </w:r>
    </w:p>
    <w:p w14:paraId="6CCD8D3F" w14:textId="77777777" w:rsidR="00C22B94" w:rsidRPr="008D3423" w:rsidRDefault="00C22B94" w:rsidP="00C22B94">
      <w:pPr>
        <w:pStyle w:val="Akapitzlist"/>
        <w:numPr>
          <w:ilvl w:val="0"/>
          <w:numId w:val="31"/>
        </w:numPr>
        <w:spacing w:line="240" w:lineRule="auto"/>
        <w:ind w:left="284" w:right="141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Silnik baz danych musi obsługiwać mechanizm kompresji kopii zapasowych w trakcie ich tworzenia</w:t>
      </w:r>
    </w:p>
    <w:p w14:paraId="24B08839" w14:textId="77777777" w:rsidR="00C22B94" w:rsidRPr="008D3423" w:rsidRDefault="00C22B94" w:rsidP="00C22B94">
      <w:pPr>
        <w:pStyle w:val="Akapitzlist"/>
        <w:numPr>
          <w:ilvl w:val="0"/>
          <w:numId w:val="31"/>
        </w:numPr>
        <w:spacing w:line="240" w:lineRule="auto"/>
        <w:ind w:left="284" w:right="141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Obsługa automatycznego szyfrowania kopii zapasowych baz danych (w trakcie wykonywania) przy użyciu min. funkcji kryptograficznej AES-256 z użyciem klucza asymetrycznego. Możliwość szyfrowania kopii zapasowych baz danych niezaszyfrowanych.</w:t>
      </w:r>
    </w:p>
    <w:p w14:paraId="2366C08F" w14:textId="2F57E78B" w:rsidR="00C22B94" w:rsidRPr="008D3423" w:rsidRDefault="00C22B94" w:rsidP="00C22B94">
      <w:pPr>
        <w:pStyle w:val="Akapitzlist"/>
        <w:numPr>
          <w:ilvl w:val="0"/>
          <w:numId w:val="31"/>
        </w:numPr>
        <w:spacing w:line="240" w:lineRule="auto"/>
        <w:ind w:left="284" w:right="141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Wsparcie dla zastosowanych w MIK reguł bezpieczeństwa, min. zastosowanie mechanizmu weryfikacji dostatecznego poziomu długości i komplikacji haseł użytkowników, możliwość zintegrowania uwierzytelniania użytkowników z Active Directory</w:t>
      </w:r>
      <w:r w:rsid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.</w:t>
      </w:r>
    </w:p>
    <w:p w14:paraId="73005449" w14:textId="4AF73516" w:rsidR="00C22B94" w:rsidRPr="008D3423" w:rsidRDefault="00C22B94" w:rsidP="00C22B94">
      <w:pPr>
        <w:pStyle w:val="Akapitzlist"/>
        <w:numPr>
          <w:ilvl w:val="0"/>
          <w:numId w:val="31"/>
        </w:numPr>
        <w:spacing w:line="240" w:lineRule="auto"/>
        <w:ind w:left="284" w:right="141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Zredukowany do minimum negatywny wpływ logowania na wydajność silnika baz danych</w:t>
      </w:r>
      <w:r w:rsidR="005805FD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.</w:t>
      </w:r>
    </w:p>
    <w:p w14:paraId="6EAE79E4" w14:textId="70F63CA2" w:rsidR="00C22B94" w:rsidRPr="008D3423" w:rsidRDefault="00C22B94" w:rsidP="00C22B94">
      <w:pPr>
        <w:pStyle w:val="Akapitzlist"/>
        <w:numPr>
          <w:ilvl w:val="0"/>
          <w:numId w:val="30"/>
        </w:numPr>
        <w:spacing w:line="240" w:lineRule="auto"/>
        <w:ind w:left="284" w:right="141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Możliwość selektywnego wybierania rejestrowanych zdarzeń takich jak: monitorowanie stanu obciążenia silnika, operacje odczytu i zapisu danych na dysku, przekroczenie czasu wykonywania operacji, aktywność użytkownika</w:t>
      </w:r>
      <w:r w:rsidR="00613679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.</w:t>
      </w:r>
    </w:p>
    <w:p w14:paraId="368705F5" w14:textId="77777777" w:rsidR="00C22B94" w:rsidRPr="008D3423" w:rsidRDefault="00C22B94" w:rsidP="00C22B94">
      <w:pPr>
        <w:pStyle w:val="Akapitzlist"/>
        <w:numPr>
          <w:ilvl w:val="0"/>
          <w:numId w:val="30"/>
        </w:numPr>
        <w:spacing w:line="240" w:lineRule="auto"/>
        <w:ind w:left="284" w:right="141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Możliwość definiowania nowych typów danych przechowywania z obsługą danych hierarchicznych. Logika operacji nowego typu danych powinna być implementowana w zaproponowanym przez Wykonawcę języku programowania. </w:t>
      </w:r>
    </w:p>
    <w:p w14:paraId="74FC51A8" w14:textId="562EC2D6" w:rsidR="00C22B94" w:rsidRPr="008D3423" w:rsidRDefault="00C22B94" w:rsidP="00C22B94">
      <w:pPr>
        <w:pStyle w:val="Akapitzlist"/>
        <w:numPr>
          <w:ilvl w:val="0"/>
          <w:numId w:val="29"/>
        </w:numPr>
        <w:spacing w:line="240" w:lineRule="auto"/>
        <w:ind w:left="284" w:right="141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Obsługa danych w formacie XML w zakresie umożliwiającym składowanie i obróbkę danych w postaci struktur XML. Silnik musi zapewniać typ danych do przechowywania kompletnych dokumentów XML w jednym polu tabeli oraz zapewnić mechanizm do walidacji struktur XML wykorzystując szablony XSD. Ponadto silnik musi udostępniać język zapytań zgodny ze standardem XQuery do obsługi struktur XML</w:t>
      </w:r>
      <w:r w:rsid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;</w:t>
      </w:r>
    </w:p>
    <w:p w14:paraId="5C994634" w14:textId="641953BB" w:rsidR="008D3423" w:rsidRDefault="00C22B94" w:rsidP="008D3423">
      <w:pPr>
        <w:pStyle w:val="Akapitzlist"/>
        <w:numPr>
          <w:ilvl w:val="0"/>
          <w:numId w:val="29"/>
        </w:numPr>
        <w:spacing w:line="240" w:lineRule="auto"/>
        <w:ind w:left="284" w:right="141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Obsługa tworzenia funkcji i procedur w innych językach programowania z możliwością ich uruchomienia z poziomu zapytań SQL lub wyzwalaczy SQL Trigger</w:t>
      </w:r>
      <w:r w:rsid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.</w:t>
      </w:r>
    </w:p>
    <w:p w14:paraId="51F38E17" w14:textId="63D539E3" w:rsidR="008D3423" w:rsidRDefault="008D3423" w:rsidP="008D3423">
      <w:pPr>
        <w:spacing w:line="240" w:lineRule="auto"/>
        <w:ind w:right="141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</w:p>
    <w:p w14:paraId="061A9E79" w14:textId="1EC291D5" w:rsidR="008D3423" w:rsidRDefault="008D3423" w:rsidP="008D3423">
      <w:pPr>
        <w:spacing w:line="240" w:lineRule="auto"/>
        <w:ind w:right="141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</w:p>
    <w:p w14:paraId="29615B24" w14:textId="77777777" w:rsidR="008D3423" w:rsidRPr="005805FD" w:rsidRDefault="008D3423" w:rsidP="005805FD">
      <w:pPr>
        <w:spacing w:line="240" w:lineRule="auto"/>
        <w:ind w:right="141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</w:p>
    <w:p w14:paraId="30F87F3C" w14:textId="77777777" w:rsidR="00C22B94" w:rsidRPr="008D3423" w:rsidRDefault="00C22B94" w:rsidP="00C22B94">
      <w:pPr>
        <w:spacing w:line="240" w:lineRule="auto"/>
        <w:ind w:right="141" w:firstLine="0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W przypadku zaproponowania licencji równoważnych Wykonawca przeprowadzi na własny koszt instalację, konfigurację i integrację dostarczonego produktu. Wykonawca przeprowadzi migrację wszelkich danych i konfiguracji oraz konwersji istniejących baz danych do formatu zgodnego z oferowanym silnikiem baz danych, zapewniając identyczne funkcjonowanie całego środowiska w stosunku do aktualnego środowiska. Przerwa w działaniu aktualnie eksploatowanego środowiska produkcyjnego nie może wynieść więcej niż 7 godzin Dodatkowo w przypadku błędnego działania środowiska po instalacji licencji Wykonawca zobowiązany będzie na własny koszt przywrócić środowisko do stanu poprawnego funkcjonowania, a w przypadku braku takiej możliwości do stanu pierwotnego oraz dostarczenia innego rozwiązania spełniającego wymagania OPZ. Ponadto zastosowanie rozwiązania</w:t>
      </w:r>
    </w:p>
    <w:p w14:paraId="4835F8C3" w14:textId="77777777" w:rsidR="00C22B94" w:rsidRPr="008D3423" w:rsidRDefault="00C22B94" w:rsidP="00C22B94">
      <w:pPr>
        <w:spacing w:line="240" w:lineRule="auto"/>
        <w:ind w:right="141" w:firstLine="0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8D342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równoważnego nie może ograniczyć funkcjonalności posiadanego systemu przez Zamawiającego i nie może powodować konieczności ponoszenia dodatkowych kosztów dla Zamawiającego.</w:t>
      </w:r>
    </w:p>
    <w:p w14:paraId="5995341E" w14:textId="77777777" w:rsidR="00C22B94" w:rsidRPr="00830EF9" w:rsidRDefault="00C22B94" w:rsidP="00C22B94">
      <w:pPr>
        <w:pStyle w:val="Akapitzlist"/>
        <w:spacing w:line="240" w:lineRule="auto"/>
        <w:ind w:left="709" w:firstLine="0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</w:p>
    <w:p w14:paraId="4BFD5696" w14:textId="77777777" w:rsidR="00C22B94" w:rsidRPr="00B33F5E" w:rsidRDefault="00C22B94" w:rsidP="00C22B9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F784BE6" w14:textId="42EF69A2" w:rsidR="00456D20" w:rsidRPr="008F280B" w:rsidRDefault="00456D20" w:rsidP="008F280B">
      <w:pPr>
        <w:spacing w:line="240" w:lineRule="auto"/>
        <w:ind w:firstLine="0"/>
        <w:rPr>
          <w:rFonts w:asciiTheme="minorHAnsi" w:eastAsia="Calibri" w:hAnsiTheme="minorHAnsi" w:cstheme="minorHAnsi"/>
          <w:i/>
          <w:iCs/>
          <w:color w:val="000000" w:themeColor="text1"/>
          <w:sz w:val="20"/>
          <w:lang w:eastAsia="en-US"/>
        </w:rPr>
      </w:pPr>
    </w:p>
    <w:sectPr w:rsidR="00456D20" w:rsidRPr="008F280B" w:rsidSect="008F1230">
      <w:headerReference w:type="default" r:id="rId8"/>
      <w:pgSz w:w="11906" w:h="16838"/>
      <w:pgMar w:top="993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4FB0" w14:textId="77777777" w:rsidR="00D77144" w:rsidRDefault="00D77144" w:rsidP="00221A0D">
      <w:pPr>
        <w:spacing w:line="240" w:lineRule="auto"/>
      </w:pPr>
      <w:r>
        <w:separator/>
      </w:r>
    </w:p>
  </w:endnote>
  <w:endnote w:type="continuationSeparator" w:id="0">
    <w:p w14:paraId="25F72F49" w14:textId="77777777" w:rsidR="00D77144" w:rsidRDefault="00D77144" w:rsidP="00221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D6B8" w14:textId="77777777" w:rsidR="00D77144" w:rsidRDefault="00D77144" w:rsidP="00221A0D">
      <w:pPr>
        <w:spacing w:line="240" w:lineRule="auto"/>
      </w:pPr>
      <w:r>
        <w:separator/>
      </w:r>
    </w:p>
  </w:footnote>
  <w:footnote w:type="continuationSeparator" w:id="0">
    <w:p w14:paraId="772ED4E4" w14:textId="77777777" w:rsidR="00D77144" w:rsidRDefault="00D77144" w:rsidP="00221A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D742" w14:textId="262EDA08" w:rsidR="00221A0D" w:rsidRPr="00221A0D" w:rsidRDefault="00221A0D" w:rsidP="00221A0D">
    <w:pPr>
      <w:pStyle w:val="Nagwek"/>
      <w:jc w:val="right"/>
      <w:rPr>
        <w:rFonts w:asciiTheme="minorHAnsi" w:hAnsiTheme="minorHAnsi" w:cstheme="minorHAnsi"/>
        <w:sz w:val="20"/>
        <w:szCs w:val="22"/>
      </w:rPr>
    </w:pPr>
    <w:r w:rsidRPr="00221A0D">
      <w:rPr>
        <w:rFonts w:asciiTheme="minorHAnsi" w:hAnsiTheme="minorHAnsi" w:cstheme="minorHAnsi"/>
        <w:sz w:val="20"/>
        <w:szCs w:val="22"/>
      </w:rPr>
      <w:t>Załącznik nr 2 do SWZ - 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29CB"/>
    <w:multiLevelType w:val="hybridMultilevel"/>
    <w:tmpl w:val="2F88E2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A12EA2"/>
    <w:multiLevelType w:val="hybridMultilevel"/>
    <w:tmpl w:val="5C023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37BEF"/>
    <w:multiLevelType w:val="hybridMultilevel"/>
    <w:tmpl w:val="9A9274A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7C5757"/>
    <w:multiLevelType w:val="hybridMultilevel"/>
    <w:tmpl w:val="501A60FC"/>
    <w:lvl w:ilvl="0" w:tplc="7BAE3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C7"/>
    <w:multiLevelType w:val="hybridMultilevel"/>
    <w:tmpl w:val="3476D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4123D"/>
    <w:multiLevelType w:val="hybridMultilevel"/>
    <w:tmpl w:val="6EECEDB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44E5"/>
    <w:multiLevelType w:val="hybridMultilevel"/>
    <w:tmpl w:val="638A03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6F3EB2"/>
    <w:multiLevelType w:val="hybridMultilevel"/>
    <w:tmpl w:val="827EAA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011F65"/>
    <w:multiLevelType w:val="hybridMultilevel"/>
    <w:tmpl w:val="0E0A133A"/>
    <w:lvl w:ilvl="0" w:tplc="E7FE987A">
      <w:start w:val="1"/>
      <w:numFmt w:val="decimal"/>
      <w:lvlText w:val="%1."/>
      <w:lvlJc w:val="left"/>
      <w:pPr>
        <w:ind w:left="994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91AC4"/>
    <w:multiLevelType w:val="hybridMultilevel"/>
    <w:tmpl w:val="1DFE1936"/>
    <w:lvl w:ilvl="0" w:tplc="04150019">
      <w:start w:val="1"/>
      <w:numFmt w:val="lowerLetter"/>
      <w:lvlText w:val="%1."/>
      <w:lvlJc w:val="left"/>
      <w:pPr>
        <w:ind w:left="994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9680E"/>
    <w:multiLevelType w:val="multilevel"/>
    <w:tmpl w:val="E698EA32"/>
    <w:lvl w:ilvl="0">
      <w:start w:val="1"/>
      <w:numFmt w:val="bullet"/>
      <w:lvlText w:val=""/>
      <w:lvlJc w:val="left"/>
      <w:pPr>
        <w:tabs>
          <w:tab w:val="num" w:pos="0"/>
        </w:tabs>
        <w:ind w:left="408" w:firstLine="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32540CDD"/>
    <w:multiLevelType w:val="hybridMultilevel"/>
    <w:tmpl w:val="A3741D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334163"/>
    <w:multiLevelType w:val="hybridMultilevel"/>
    <w:tmpl w:val="5980EC36"/>
    <w:lvl w:ilvl="0" w:tplc="7BAE3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63675"/>
    <w:multiLevelType w:val="hybridMultilevel"/>
    <w:tmpl w:val="9F645380"/>
    <w:lvl w:ilvl="0" w:tplc="93F6A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7849"/>
    <w:multiLevelType w:val="multilevel"/>
    <w:tmpl w:val="0154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0657E9"/>
    <w:multiLevelType w:val="hybridMultilevel"/>
    <w:tmpl w:val="2A206C16"/>
    <w:lvl w:ilvl="0" w:tplc="157208C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EFE66F7"/>
    <w:multiLevelType w:val="hybridMultilevel"/>
    <w:tmpl w:val="B59E1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63A8C"/>
    <w:multiLevelType w:val="hybridMultilevel"/>
    <w:tmpl w:val="9468ED96"/>
    <w:lvl w:ilvl="0" w:tplc="C2A02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E0B3D"/>
    <w:multiLevelType w:val="hybridMultilevel"/>
    <w:tmpl w:val="18B41C1A"/>
    <w:lvl w:ilvl="0" w:tplc="562EB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49370E"/>
    <w:multiLevelType w:val="hybridMultilevel"/>
    <w:tmpl w:val="60C4B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62EE3"/>
    <w:multiLevelType w:val="hybridMultilevel"/>
    <w:tmpl w:val="3D4E3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15EB6"/>
    <w:multiLevelType w:val="hybridMultilevel"/>
    <w:tmpl w:val="ACE20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50A08"/>
    <w:multiLevelType w:val="multilevel"/>
    <w:tmpl w:val="90405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18E0A6C"/>
    <w:multiLevelType w:val="hybridMultilevel"/>
    <w:tmpl w:val="0570E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13BC8"/>
    <w:multiLevelType w:val="hybridMultilevel"/>
    <w:tmpl w:val="9A9274A6"/>
    <w:lvl w:ilvl="0" w:tplc="2AC8BD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1D6E73"/>
    <w:multiLevelType w:val="multilevel"/>
    <w:tmpl w:val="22A6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8B6A36"/>
    <w:multiLevelType w:val="multilevel"/>
    <w:tmpl w:val="90405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CB952C8"/>
    <w:multiLevelType w:val="hybridMultilevel"/>
    <w:tmpl w:val="6D7CA82E"/>
    <w:lvl w:ilvl="0" w:tplc="98F8EFE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70320602"/>
    <w:multiLevelType w:val="hybridMultilevel"/>
    <w:tmpl w:val="FD2ABB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5B27445"/>
    <w:multiLevelType w:val="hybridMultilevel"/>
    <w:tmpl w:val="841825B2"/>
    <w:lvl w:ilvl="0" w:tplc="0415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0" w15:restartNumberingAfterBreak="0">
    <w:nsid w:val="7A985C40"/>
    <w:multiLevelType w:val="hybridMultilevel"/>
    <w:tmpl w:val="033A1E28"/>
    <w:lvl w:ilvl="0" w:tplc="0415000F">
      <w:start w:val="1"/>
      <w:numFmt w:val="decimal"/>
      <w:lvlText w:val="%1."/>
      <w:lvlJc w:val="left"/>
      <w:pPr>
        <w:ind w:left="994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940CF"/>
    <w:multiLevelType w:val="hybridMultilevel"/>
    <w:tmpl w:val="0A12D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E0730"/>
    <w:multiLevelType w:val="hybridMultilevel"/>
    <w:tmpl w:val="6EECEDBC"/>
    <w:lvl w:ilvl="0" w:tplc="5F9AF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03BD1"/>
    <w:multiLevelType w:val="hybridMultilevel"/>
    <w:tmpl w:val="E4FC508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433927">
    <w:abstractNumId w:val="8"/>
  </w:num>
  <w:num w:numId="2" w16cid:durableId="895160835">
    <w:abstractNumId w:val="16"/>
  </w:num>
  <w:num w:numId="3" w16cid:durableId="1156216267">
    <w:abstractNumId w:val="3"/>
  </w:num>
  <w:num w:numId="4" w16cid:durableId="1737127568">
    <w:abstractNumId w:val="12"/>
  </w:num>
  <w:num w:numId="5" w16cid:durableId="195850431">
    <w:abstractNumId w:val="9"/>
  </w:num>
  <w:num w:numId="6" w16cid:durableId="1025987178">
    <w:abstractNumId w:val="30"/>
  </w:num>
  <w:num w:numId="7" w16cid:durableId="145829640">
    <w:abstractNumId w:val="31"/>
  </w:num>
  <w:num w:numId="8" w16cid:durableId="1386219546">
    <w:abstractNumId w:val="1"/>
  </w:num>
  <w:num w:numId="9" w16cid:durableId="985744665">
    <w:abstractNumId w:val="4"/>
  </w:num>
  <w:num w:numId="10" w16cid:durableId="12925866">
    <w:abstractNumId w:val="20"/>
  </w:num>
  <w:num w:numId="11" w16cid:durableId="1288663108">
    <w:abstractNumId w:val="32"/>
  </w:num>
  <w:num w:numId="12" w16cid:durableId="863322955">
    <w:abstractNumId w:val="13"/>
  </w:num>
  <w:num w:numId="13" w16cid:durableId="1222670657">
    <w:abstractNumId w:val="25"/>
  </w:num>
  <w:num w:numId="14" w16cid:durableId="1709451483">
    <w:abstractNumId w:val="24"/>
  </w:num>
  <w:num w:numId="15" w16cid:durableId="448552948">
    <w:abstractNumId w:val="23"/>
  </w:num>
  <w:num w:numId="16" w16cid:durableId="1125350975">
    <w:abstractNumId w:val="2"/>
  </w:num>
  <w:num w:numId="17" w16cid:durableId="1404722851">
    <w:abstractNumId w:val="5"/>
  </w:num>
  <w:num w:numId="18" w16cid:durableId="2111393192">
    <w:abstractNumId w:val="17"/>
  </w:num>
  <w:num w:numId="19" w16cid:durableId="1175000299">
    <w:abstractNumId w:val="19"/>
  </w:num>
  <w:num w:numId="20" w16cid:durableId="1795248760">
    <w:abstractNumId w:val="14"/>
  </w:num>
  <w:num w:numId="21" w16cid:durableId="1854685431">
    <w:abstractNumId w:val="22"/>
  </w:num>
  <w:num w:numId="22" w16cid:durableId="238364552">
    <w:abstractNumId w:val="18"/>
  </w:num>
  <w:num w:numId="23" w16cid:durableId="936407236">
    <w:abstractNumId w:val="26"/>
  </w:num>
  <w:num w:numId="24" w16cid:durableId="961039593">
    <w:abstractNumId w:val="27"/>
  </w:num>
  <w:num w:numId="25" w16cid:durableId="1277447840">
    <w:abstractNumId w:val="21"/>
  </w:num>
  <w:num w:numId="26" w16cid:durableId="208609303">
    <w:abstractNumId w:val="0"/>
  </w:num>
  <w:num w:numId="27" w16cid:durableId="1279753677">
    <w:abstractNumId w:val="15"/>
  </w:num>
  <w:num w:numId="28" w16cid:durableId="1957256068">
    <w:abstractNumId w:val="7"/>
  </w:num>
  <w:num w:numId="29" w16cid:durableId="680014376">
    <w:abstractNumId w:val="28"/>
  </w:num>
  <w:num w:numId="30" w16cid:durableId="2027096139">
    <w:abstractNumId w:val="6"/>
  </w:num>
  <w:num w:numId="31" w16cid:durableId="1458794687">
    <w:abstractNumId w:val="11"/>
  </w:num>
  <w:num w:numId="32" w16cid:durableId="296303389">
    <w:abstractNumId w:val="10"/>
  </w:num>
  <w:num w:numId="33" w16cid:durableId="2116900882">
    <w:abstractNumId w:val="29"/>
  </w:num>
  <w:num w:numId="34" w16cid:durableId="202624941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AE"/>
    <w:rsid w:val="0002056C"/>
    <w:rsid w:val="000300C6"/>
    <w:rsid w:val="000425DB"/>
    <w:rsid w:val="000465DB"/>
    <w:rsid w:val="00052C50"/>
    <w:rsid w:val="0005443F"/>
    <w:rsid w:val="00070568"/>
    <w:rsid w:val="00076CA5"/>
    <w:rsid w:val="00084A12"/>
    <w:rsid w:val="000A029A"/>
    <w:rsid w:val="000B1DA0"/>
    <w:rsid w:val="000D173F"/>
    <w:rsid w:val="000D3032"/>
    <w:rsid w:val="000E2044"/>
    <w:rsid w:val="000E3950"/>
    <w:rsid w:val="00131CC0"/>
    <w:rsid w:val="00134478"/>
    <w:rsid w:val="00137B0E"/>
    <w:rsid w:val="00155AA8"/>
    <w:rsid w:val="00164ED2"/>
    <w:rsid w:val="00183BD6"/>
    <w:rsid w:val="001F0AEB"/>
    <w:rsid w:val="002056F7"/>
    <w:rsid w:val="00221A0D"/>
    <w:rsid w:val="002309A9"/>
    <w:rsid w:val="00231032"/>
    <w:rsid w:val="00254558"/>
    <w:rsid w:val="00254B28"/>
    <w:rsid w:val="0027412F"/>
    <w:rsid w:val="00287502"/>
    <w:rsid w:val="0029278A"/>
    <w:rsid w:val="002C3E4C"/>
    <w:rsid w:val="002D427D"/>
    <w:rsid w:val="002E54B5"/>
    <w:rsid w:val="002F41A0"/>
    <w:rsid w:val="00312295"/>
    <w:rsid w:val="00312906"/>
    <w:rsid w:val="003171AE"/>
    <w:rsid w:val="00325DE3"/>
    <w:rsid w:val="0033189E"/>
    <w:rsid w:val="0036133D"/>
    <w:rsid w:val="0036323E"/>
    <w:rsid w:val="0036749E"/>
    <w:rsid w:val="003712DC"/>
    <w:rsid w:val="00384065"/>
    <w:rsid w:val="003A6624"/>
    <w:rsid w:val="003B7681"/>
    <w:rsid w:val="003D3196"/>
    <w:rsid w:val="003F03B9"/>
    <w:rsid w:val="004105B4"/>
    <w:rsid w:val="004249D8"/>
    <w:rsid w:val="0044374B"/>
    <w:rsid w:val="00453E39"/>
    <w:rsid w:val="00456D20"/>
    <w:rsid w:val="00460E49"/>
    <w:rsid w:val="00460E67"/>
    <w:rsid w:val="0046422D"/>
    <w:rsid w:val="004A42CD"/>
    <w:rsid w:val="004B40A2"/>
    <w:rsid w:val="004B5DE6"/>
    <w:rsid w:val="004C54B9"/>
    <w:rsid w:val="004C60FA"/>
    <w:rsid w:val="004E2DF5"/>
    <w:rsid w:val="004E7875"/>
    <w:rsid w:val="0054395C"/>
    <w:rsid w:val="00571D54"/>
    <w:rsid w:val="005738BF"/>
    <w:rsid w:val="00577307"/>
    <w:rsid w:val="005805FD"/>
    <w:rsid w:val="00580FDD"/>
    <w:rsid w:val="005A48C2"/>
    <w:rsid w:val="005D6FDC"/>
    <w:rsid w:val="00601570"/>
    <w:rsid w:val="00613679"/>
    <w:rsid w:val="00631B54"/>
    <w:rsid w:val="00673C83"/>
    <w:rsid w:val="006744B4"/>
    <w:rsid w:val="00681B8A"/>
    <w:rsid w:val="00691CD8"/>
    <w:rsid w:val="006A3B7A"/>
    <w:rsid w:val="006A7DA1"/>
    <w:rsid w:val="006D154D"/>
    <w:rsid w:val="006F0425"/>
    <w:rsid w:val="00702870"/>
    <w:rsid w:val="00712834"/>
    <w:rsid w:val="00721809"/>
    <w:rsid w:val="00726A8A"/>
    <w:rsid w:val="00752F5A"/>
    <w:rsid w:val="0075650C"/>
    <w:rsid w:val="00795B31"/>
    <w:rsid w:val="007C6AF6"/>
    <w:rsid w:val="008155AE"/>
    <w:rsid w:val="008300A0"/>
    <w:rsid w:val="00834B84"/>
    <w:rsid w:val="00850911"/>
    <w:rsid w:val="008836E6"/>
    <w:rsid w:val="008A21A2"/>
    <w:rsid w:val="008A59DD"/>
    <w:rsid w:val="008B6540"/>
    <w:rsid w:val="008D3423"/>
    <w:rsid w:val="008D431F"/>
    <w:rsid w:val="008E180C"/>
    <w:rsid w:val="008E27DA"/>
    <w:rsid w:val="008F1230"/>
    <w:rsid w:val="008F280B"/>
    <w:rsid w:val="00910945"/>
    <w:rsid w:val="00924143"/>
    <w:rsid w:val="00933BEE"/>
    <w:rsid w:val="00940EEA"/>
    <w:rsid w:val="00981C37"/>
    <w:rsid w:val="00987A6A"/>
    <w:rsid w:val="0099397E"/>
    <w:rsid w:val="009A3409"/>
    <w:rsid w:val="009A7673"/>
    <w:rsid w:val="009B3E88"/>
    <w:rsid w:val="009C498B"/>
    <w:rsid w:val="009C4CEE"/>
    <w:rsid w:val="00A32381"/>
    <w:rsid w:val="00A376CB"/>
    <w:rsid w:val="00A44EC0"/>
    <w:rsid w:val="00A65912"/>
    <w:rsid w:val="00A660EC"/>
    <w:rsid w:val="00A85F3B"/>
    <w:rsid w:val="00AA5E9B"/>
    <w:rsid w:val="00AB029B"/>
    <w:rsid w:val="00AF15E4"/>
    <w:rsid w:val="00B276C0"/>
    <w:rsid w:val="00B6318F"/>
    <w:rsid w:val="00B64156"/>
    <w:rsid w:val="00BA25F9"/>
    <w:rsid w:val="00BA47F0"/>
    <w:rsid w:val="00BA7ED8"/>
    <w:rsid w:val="00BC4945"/>
    <w:rsid w:val="00BD55A8"/>
    <w:rsid w:val="00BF684B"/>
    <w:rsid w:val="00C213E9"/>
    <w:rsid w:val="00C22B94"/>
    <w:rsid w:val="00C23E50"/>
    <w:rsid w:val="00C358A0"/>
    <w:rsid w:val="00C40402"/>
    <w:rsid w:val="00C4058B"/>
    <w:rsid w:val="00C616BB"/>
    <w:rsid w:val="00C62F57"/>
    <w:rsid w:val="00C8153D"/>
    <w:rsid w:val="00C8242E"/>
    <w:rsid w:val="00C873F2"/>
    <w:rsid w:val="00C90B74"/>
    <w:rsid w:val="00C92587"/>
    <w:rsid w:val="00C97382"/>
    <w:rsid w:val="00CA0561"/>
    <w:rsid w:val="00CA125C"/>
    <w:rsid w:val="00CB0B3A"/>
    <w:rsid w:val="00CB42BB"/>
    <w:rsid w:val="00CD0C98"/>
    <w:rsid w:val="00D2579B"/>
    <w:rsid w:val="00D4435A"/>
    <w:rsid w:val="00D77144"/>
    <w:rsid w:val="00D774F1"/>
    <w:rsid w:val="00D92037"/>
    <w:rsid w:val="00D9653C"/>
    <w:rsid w:val="00DB4981"/>
    <w:rsid w:val="00DF209D"/>
    <w:rsid w:val="00E06CEA"/>
    <w:rsid w:val="00E16680"/>
    <w:rsid w:val="00E31C3A"/>
    <w:rsid w:val="00E33486"/>
    <w:rsid w:val="00E54D02"/>
    <w:rsid w:val="00E80B2B"/>
    <w:rsid w:val="00E95915"/>
    <w:rsid w:val="00EA4951"/>
    <w:rsid w:val="00EA4F81"/>
    <w:rsid w:val="00EA7C67"/>
    <w:rsid w:val="00EB3C20"/>
    <w:rsid w:val="00EB4179"/>
    <w:rsid w:val="00EB699B"/>
    <w:rsid w:val="00EC46DB"/>
    <w:rsid w:val="00EC4A21"/>
    <w:rsid w:val="00EF69F0"/>
    <w:rsid w:val="00EF75B3"/>
    <w:rsid w:val="00F04F0B"/>
    <w:rsid w:val="00F17ADD"/>
    <w:rsid w:val="00F310AE"/>
    <w:rsid w:val="00F34181"/>
    <w:rsid w:val="00F63373"/>
    <w:rsid w:val="00F72C99"/>
    <w:rsid w:val="00F97DF9"/>
    <w:rsid w:val="00FA7999"/>
    <w:rsid w:val="00FB27A8"/>
    <w:rsid w:val="00FC3634"/>
    <w:rsid w:val="00FC4FA5"/>
    <w:rsid w:val="00FD262F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B3D1"/>
  <w15:chartTrackingRefBased/>
  <w15:docId w15:val="{0B457CA1-13DC-45E5-AC50-E49A58C3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0AE"/>
    <w:pPr>
      <w:spacing w:after="0" w:line="360" w:lineRule="auto"/>
      <w:ind w:firstLine="708"/>
      <w:jc w:val="both"/>
    </w:pPr>
    <w:rPr>
      <w:rFonts w:ascii="Verdana" w:eastAsia="Times New Roman" w:hAnsi="Verdana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0AE"/>
    <w:pPr>
      <w:ind w:left="720"/>
      <w:contextualSpacing/>
    </w:pPr>
  </w:style>
  <w:style w:type="table" w:styleId="Tabelasiatki4">
    <w:name w:val="Grid Table 4"/>
    <w:basedOn w:val="Standardowy"/>
    <w:uiPriority w:val="49"/>
    <w:rsid w:val="00C62F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62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2F57"/>
    <w:pPr>
      <w:spacing w:after="160" w:line="240" w:lineRule="auto"/>
      <w:ind w:firstLin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2F57"/>
    <w:rPr>
      <w:sz w:val="20"/>
      <w:szCs w:val="20"/>
    </w:rPr>
  </w:style>
  <w:style w:type="paragraph" w:styleId="Poprawka">
    <w:name w:val="Revision"/>
    <w:hidden/>
    <w:uiPriority w:val="99"/>
    <w:semiHidden/>
    <w:rsid w:val="00933BEE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BEE"/>
    <w:pPr>
      <w:spacing w:after="0"/>
      <w:ind w:firstLine="708"/>
      <w:jc w:val="both"/>
    </w:pPr>
    <w:rPr>
      <w:rFonts w:ascii="Verdana" w:eastAsia="Times New Roman" w:hAnsi="Verdan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BEE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12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23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21A0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A0D"/>
    <w:rPr>
      <w:rFonts w:ascii="Verdana" w:eastAsia="Times New Roman" w:hAnsi="Verdana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A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A0D"/>
    <w:rPr>
      <w:rFonts w:ascii="Verdana" w:eastAsia="Times New Roman" w:hAnsi="Verdana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DA6B3-A4C3-4C6F-AF1E-E011899A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5</Pages>
  <Words>1874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Zalewski</dc:creator>
  <cp:keywords/>
  <dc:description/>
  <cp:lastModifiedBy>Paulina Olejniczak</cp:lastModifiedBy>
  <cp:revision>58</cp:revision>
  <dcterms:created xsi:type="dcterms:W3CDTF">2022-09-07T12:20:00Z</dcterms:created>
  <dcterms:modified xsi:type="dcterms:W3CDTF">2023-04-05T07:42:00Z</dcterms:modified>
</cp:coreProperties>
</file>