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A1DB" w14:textId="26F5EF52" w:rsidR="009E51CD" w:rsidRPr="00534B7D" w:rsidRDefault="009E51CD" w:rsidP="009E51CD">
      <w:pPr>
        <w:spacing w:line="240" w:lineRule="auto"/>
        <w:rPr>
          <w:rFonts w:ascii="Segoe UI Light" w:eastAsia="Times New Roman" w:hAnsi="Segoe UI Light" w:cs="Segoe UI Light"/>
          <w:b/>
        </w:rPr>
      </w:pPr>
      <w:r w:rsidRPr="00534B7D">
        <w:rPr>
          <w:rFonts w:ascii="Segoe UI Light" w:eastAsia="Times New Roman" w:hAnsi="Segoe UI Light" w:cs="Segoe UI Light"/>
          <w:b/>
        </w:rPr>
        <w:t>SCENARIUSZ ORAZ WYMAGANIA ODNOŚNIE BADANIA PRÓBKI PRZEDMIOTU ZAMÓWIENIA</w:t>
      </w:r>
    </w:p>
    <w:p w14:paraId="732A0AB9" w14:textId="77777777" w:rsidR="009E51CD" w:rsidRPr="00534B7D" w:rsidRDefault="009E51CD" w:rsidP="009E51CD">
      <w:pPr>
        <w:spacing w:line="240" w:lineRule="auto"/>
        <w:jc w:val="center"/>
        <w:rPr>
          <w:rFonts w:ascii="Segoe UI Light" w:eastAsia="Times New Roman" w:hAnsi="Segoe UI Light" w:cs="Segoe UI Light"/>
          <w:b/>
        </w:rPr>
      </w:pPr>
    </w:p>
    <w:p w14:paraId="2EEA55F1" w14:textId="77777777" w:rsidR="009E51CD" w:rsidRPr="00534B7D" w:rsidRDefault="009E51CD" w:rsidP="009E51CD">
      <w:pPr>
        <w:numPr>
          <w:ilvl w:val="0"/>
          <w:numId w:val="1"/>
        </w:numPr>
        <w:shd w:val="clear" w:color="auto" w:fill="FFFFFF"/>
        <w:spacing w:line="240" w:lineRule="auto"/>
        <w:rPr>
          <w:rFonts w:ascii="Segoe UI Light" w:eastAsia="Times New Roman" w:hAnsi="Segoe UI Light" w:cs="Segoe UI Light"/>
          <w:b/>
        </w:rPr>
      </w:pPr>
      <w:r w:rsidRPr="00534B7D">
        <w:rPr>
          <w:rFonts w:ascii="Segoe UI Light" w:eastAsia="Times New Roman" w:hAnsi="Segoe UI Light" w:cs="Segoe UI Light"/>
          <w:b/>
        </w:rPr>
        <w:t>Cel badania próbki.</w:t>
      </w:r>
    </w:p>
    <w:p w14:paraId="6EEFC668" w14:textId="77777777" w:rsidR="009E51CD" w:rsidRPr="00534B7D" w:rsidRDefault="009E51CD" w:rsidP="009E51CD">
      <w:pPr>
        <w:shd w:val="clear" w:color="auto" w:fill="FFFFFF"/>
        <w:spacing w:line="240" w:lineRule="auto"/>
        <w:rPr>
          <w:rFonts w:ascii="Segoe UI Light" w:eastAsia="Times New Roman" w:hAnsi="Segoe UI Light" w:cs="Segoe UI Light"/>
          <w:b/>
        </w:rPr>
      </w:pPr>
    </w:p>
    <w:p w14:paraId="7F9B6509" w14:textId="77777777" w:rsidR="009E51CD" w:rsidRPr="00534B7D" w:rsidRDefault="009E51CD" w:rsidP="00534B7D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40" w:lineRule="auto"/>
        <w:ind w:left="338" w:hanging="338"/>
        <w:jc w:val="both"/>
        <w:rPr>
          <w:rFonts w:ascii="Segoe UI Light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Zamawiający wymaga, aby Wykonawca, złożył dwa dyski przenośne, stanowiące próbkę oferowanych dostaw i usług.</w:t>
      </w:r>
    </w:p>
    <w:p w14:paraId="078001C9" w14:textId="77777777" w:rsidR="009E51CD" w:rsidRPr="00534B7D" w:rsidRDefault="009E51CD" w:rsidP="00534B7D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40" w:lineRule="auto"/>
        <w:ind w:left="338" w:right="14" w:hanging="338"/>
        <w:jc w:val="both"/>
        <w:rPr>
          <w:rFonts w:ascii="Segoe UI Light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Celem złożenia próbki jest potwierdzenie, poprzez jej badanie i wyjaśnianie, zwane dalej badaniem próbki, czy oferowane przez Wykonawcę dostawy i usługi odpowiadają wymaganiom określonym przez Zamawiającego w opisie przedmiotu zamówienia.</w:t>
      </w:r>
    </w:p>
    <w:p w14:paraId="54D124B4" w14:textId="77777777" w:rsidR="009E51CD" w:rsidRPr="00534B7D" w:rsidRDefault="009E51CD" w:rsidP="00534B7D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40" w:lineRule="auto"/>
        <w:ind w:left="338" w:right="14" w:hanging="338"/>
        <w:jc w:val="both"/>
        <w:rPr>
          <w:rFonts w:ascii="Segoe UI Light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Ocena dokonywana przez Komisję Przetargową na podstawie badania próbki Wykonawcy, będzie odbywała się w jego obecności, zgodnie z procedurą określoną w rozdziale III.</w:t>
      </w:r>
    </w:p>
    <w:p w14:paraId="7679FF6E" w14:textId="248ECC4C" w:rsidR="009E51CD" w:rsidRPr="00534B7D" w:rsidRDefault="009E51CD" w:rsidP="00534B7D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40" w:lineRule="auto"/>
        <w:ind w:left="338" w:right="14" w:hanging="338"/>
        <w:jc w:val="both"/>
        <w:rPr>
          <w:rFonts w:ascii="Segoe UI Light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Wykonawca przekaże na dyskach przenośnych wirtualną maszynę z zainstalowanym systemem operacyjnym oraz oprogramowaniem, stanowiącym próbkę dostaw i usług wraz </w:t>
      </w:r>
      <w:r w:rsidR="00D614D8">
        <w:rPr>
          <w:rFonts w:ascii="Segoe UI Light" w:eastAsia="Times New Roman" w:hAnsi="Segoe UI Light" w:cs="Segoe UI Light"/>
        </w:rPr>
        <w:br/>
      </w:r>
      <w:r w:rsidRPr="00534B7D">
        <w:rPr>
          <w:rFonts w:ascii="Segoe UI Light" w:eastAsia="Times New Roman" w:hAnsi="Segoe UI Light" w:cs="Segoe UI Light"/>
        </w:rPr>
        <w:t>z przykładowymi danymi dostarczonymi przez Wykonawcę.</w:t>
      </w:r>
    </w:p>
    <w:p w14:paraId="41490A55" w14:textId="15403C28" w:rsidR="009E51CD" w:rsidRPr="00534B7D" w:rsidRDefault="009E51CD" w:rsidP="00534B7D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40" w:lineRule="auto"/>
        <w:ind w:left="338" w:right="7" w:hanging="338"/>
        <w:jc w:val="both"/>
        <w:rPr>
          <w:rFonts w:ascii="Segoe UI Light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Przykładowe dane nie mogą naruszać zapisów Ustawy o ochronie danych osobowych. </w:t>
      </w:r>
      <w:r w:rsidR="00D614D8">
        <w:rPr>
          <w:rFonts w:ascii="Segoe UI Light" w:eastAsia="Times New Roman" w:hAnsi="Segoe UI Light" w:cs="Segoe UI Light"/>
        </w:rPr>
        <w:br/>
      </w:r>
      <w:r w:rsidRPr="00534B7D">
        <w:rPr>
          <w:rFonts w:ascii="Segoe UI Light" w:eastAsia="Times New Roman" w:hAnsi="Segoe UI Light" w:cs="Segoe UI Light"/>
        </w:rPr>
        <w:t>W przypadku jej naruszenia Wykonawca ponosi całkowitą odpowiedzialność.</w:t>
      </w:r>
    </w:p>
    <w:p w14:paraId="2A1E43F5" w14:textId="77777777" w:rsidR="009E51CD" w:rsidRPr="00534B7D" w:rsidRDefault="009E51CD" w:rsidP="00534B7D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40" w:lineRule="auto"/>
        <w:ind w:left="338" w:right="7" w:hanging="338"/>
        <w:jc w:val="both"/>
        <w:rPr>
          <w:rFonts w:ascii="Segoe UI Light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Zainstalowane na dyskach przenośnych oprogramowanie i przykładowe dane muszą pozwolić na zbadanie cech i funkcjonalności, zgodnie procedurą opisaną w rozdziale 3.</w:t>
      </w:r>
    </w:p>
    <w:p w14:paraId="6621E91D" w14:textId="77777777" w:rsidR="009E51CD" w:rsidRPr="00534B7D" w:rsidRDefault="009E51CD" w:rsidP="00534B7D">
      <w:pPr>
        <w:numPr>
          <w:ilvl w:val="0"/>
          <w:numId w:val="3"/>
        </w:numPr>
        <w:shd w:val="clear" w:color="auto" w:fill="FFFFFF"/>
        <w:tabs>
          <w:tab w:val="left" w:pos="670"/>
          <w:tab w:val="left" w:pos="1692"/>
          <w:tab w:val="left" w:pos="3607"/>
          <w:tab w:val="left" w:pos="7970"/>
        </w:tabs>
        <w:spacing w:line="240" w:lineRule="auto"/>
        <w:ind w:left="338" w:hanging="338"/>
        <w:jc w:val="both"/>
        <w:rPr>
          <w:rFonts w:ascii="Segoe UI Light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Dostarczenie sprawnych dysków przenośnych jest obowiązkiem Wykonawcy, a ich parametry muszą pozwalać na sprawne funkcjonowanie wirtualnej maszyny z zainstalowanym systemem operacyjnym, oferowanym oprogramowaniem systemu i przykładowymi danymi.</w:t>
      </w:r>
    </w:p>
    <w:p w14:paraId="3DF8F8F1" w14:textId="77777777" w:rsidR="009E51CD" w:rsidRPr="00534B7D" w:rsidRDefault="009E51CD" w:rsidP="00534B7D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40" w:lineRule="auto"/>
        <w:ind w:left="338" w:right="7" w:hanging="338"/>
        <w:jc w:val="both"/>
        <w:rPr>
          <w:rFonts w:ascii="Segoe UI Light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Zamawiający zaleca, aby dyski przenośne były złożone w oddzielnej kopercie z oznakowaniem „Próbka - dyski przenośne", włożonej do opakowania zawierającego ofertę. Koperta powinna być opatrzona także nazwą i adresem Wykonawcy.</w:t>
      </w:r>
    </w:p>
    <w:p w14:paraId="1373159D" w14:textId="77777777" w:rsidR="009E51CD" w:rsidRPr="00534B7D" w:rsidRDefault="009E51CD" w:rsidP="009E51CD">
      <w:pPr>
        <w:shd w:val="clear" w:color="auto" w:fill="FFFFFF"/>
        <w:tabs>
          <w:tab w:val="left" w:pos="670"/>
        </w:tabs>
        <w:spacing w:line="240" w:lineRule="auto"/>
        <w:ind w:left="670" w:right="7"/>
        <w:jc w:val="both"/>
        <w:rPr>
          <w:rFonts w:ascii="Segoe UI Light" w:eastAsia="Times New Roman" w:hAnsi="Segoe UI Light" w:cs="Segoe UI Light"/>
        </w:rPr>
      </w:pPr>
    </w:p>
    <w:p w14:paraId="4110D644" w14:textId="77777777" w:rsidR="009E51CD" w:rsidRPr="00534B7D" w:rsidRDefault="009E51CD" w:rsidP="009E51CD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240" w:lineRule="auto"/>
        <w:rPr>
          <w:rFonts w:ascii="Segoe UI Light" w:eastAsia="Times New Roman" w:hAnsi="Segoe UI Light" w:cs="Segoe UI Light"/>
          <w:b/>
        </w:rPr>
      </w:pPr>
      <w:r w:rsidRPr="00534B7D">
        <w:rPr>
          <w:rFonts w:ascii="Segoe UI Light" w:eastAsia="Times New Roman" w:hAnsi="Segoe UI Light" w:cs="Segoe UI Light"/>
          <w:b/>
        </w:rPr>
        <w:t>Opis badania.</w:t>
      </w:r>
    </w:p>
    <w:p w14:paraId="3DF8CB51" w14:textId="5C507504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left="331"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Badanie próbki odbędzie się w siedzibie Zamawiającego z wykorzystaniem wirtualnej maszyny z zainstalowanym systemem operacyjnym i oprogramowaniem wraz z przykładowymi danymi znajdującymi się na dysku przenośnym, dostarczonym przez Wykonawcę na wezwanie </w:t>
      </w:r>
      <w:r w:rsidR="00D614D8">
        <w:rPr>
          <w:rFonts w:ascii="Segoe UI Light" w:eastAsia="Times New Roman" w:hAnsi="Segoe UI Light" w:cs="Segoe UI Light"/>
        </w:rPr>
        <w:br/>
      </w:r>
      <w:r w:rsidRPr="00534B7D">
        <w:rPr>
          <w:rFonts w:ascii="Segoe UI Light" w:eastAsia="Times New Roman" w:hAnsi="Segoe UI Light" w:cs="Segoe UI Light"/>
        </w:rPr>
        <w:t>i podłączonym do komputera, który na czas trwania badania próbki zapewni Wykonawca.</w:t>
      </w:r>
    </w:p>
    <w:p w14:paraId="0C9CA963" w14:textId="77777777" w:rsidR="009E51CD" w:rsidRPr="00534B7D" w:rsidRDefault="009E51CD" w:rsidP="009E51CD">
      <w:pPr>
        <w:shd w:val="clear" w:color="auto" w:fill="FFFFFF"/>
        <w:tabs>
          <w:tab w:val="left" w:pos="670"/>
        </w:tabs>
        <w:spacing w:line="240" w:lineRule="auto"/>
        <w:ind w:left="331"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(Zamawiający, w wyjątkowych sytuacjach, dopuszcza badanie próbki w formie zdalnej).</w:t>
      </w:r>
    </w:p>
    <w:p w14:paraId="711AEEF6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Termin (dzień i godzina) demonstracji podany zostanie Wykonawcy, co najmniej pięć dni przed planowanym terminem badania próbki. Wykonawca, którego oferta okaże się najkorzystniejsza, zostanie powiadomiony o terminie prezentacji, z uwzględnieniem zasad porozumiewania się Zamawiającego z Wykonawcą opisanych w SIWZ.</w:t>
      </w:r>
    </w:p>
    <w:p w14:paraId="314E55D2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Badanie próbki będzie prowadzone według scenariuszy opracowanych na podstawie wymogów stawianych przez Zamawiającego w stosunku do oprogramowania będącego przedmiotem zamówienia.</w:t>
      </w:r>
    </w:p>
    <w:p w14:paraId="253F15E8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Wykonawca, na godzinę przed wyznaczonym dla niego terminem badania próbki, otrzyma od Zamawiającego dysk przenośny i zapasowy. Wykonawca zobowiązany jest do wykazania, że badana próbka oprogramowania posiada cechy i funkcjonalności określone w procedurze opisanej w rozdz. III.</w:t>
      </w:r>
    </w:p>
    <w:p w14:paraId="00383D1A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Wykonawca zobowiązany jest do udzielenia Zamawiającemu wszelkich wyjaśnień umożliwiających zbadanie, czy oferowane oprogramowanie posiada wymagane cechy i funkcjonalności. Badanie próbki będzie prowadzone do momentu wyczerpania pytań Zamawiającego.</w:t>
      </w:r>
    </w:p>
    <w:p w14:paraId="088CBD6E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W trakcie badania próbki Zamawiający ma prawo żądać od Wykonawcy zmiany wartości parametrów bądź danych wprowadzanych do oprogramowania na wartości podane przez </w:t>
      </w:r>
      <w:r w:rsidRPr="00534B7D">
        <w:rPr>
          <w:rFonts w:ascii="Segoe UI Light" w:eastAsia="Times New Roman" w:hAnsi="Segoe UI Light" w:cs="Segoe UI Light"/>
        </w:rPr>
        <w:lastRenderedPageBreak/>
        <w:t>Zamawiającego, w celu sprawdzenia, czy wymagane cechy i funkcjonalności nie są symulowane.</w:t>
      </w:r>
    </w:p>
    <w:p w14:paraId="1A4BD42B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W przypadku awarii/błędu oprogramowania lub dysku przenośnego, Wykonawca ma prawo do przerwy w badaniu próbki w celu naprawienia awarii/błędu lub podłączenia dysku zapasowego. W takim przypadku, sumaryczna przerwa w badaniu próbki nie może trwać dłużej niż 1 godzinę. Niesunięcie awarii/błędu oprogramowania lub dysków przenośnych w trakcie przerwy powoduje zakończenie badania próbki. W takim wypadku Zamawiający uzna, że oprogramowanie nie posiada cech/funkcjonalności oprogramowania, określonych w opisie przedmiotu zamówienia, co spowoduje odrzucenie oferty.</w:t>
      </w:r>
    </w:p>
    <w:p w14:paraId="6A17481B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W przypadku awarii komputera, do którego jest podłączony dysk przenośny, Wykonawca ma prawo do przerwy w badaniu próbki w celu naprawy komputera lub podłączenia dysku do innego komputera.</w:t>
      </w:r>
    </w:p>
    <w:p w14:paraId="1A36243E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Zapewnienie sprawnego komputera należy do obowiązków Wykonawcy.</w:t>
      </w:r>
    </w:p>
    <w:p w14:paraId="2A191406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Sumaryczna przerwa w badaniu próbki spowodowana awarią komputera nie może trwać dłużej niż 1 godzinę. Nieusunięcie awarii/błędu komputera w trakcie przerwy powoduje zakończenie badania próbki. W takim wypadku Zamawiający uzna, że oprogramowanie nie posiada cech i funkcjonalności określonych w opisie przedmiotu zamówienia, co spowoduje odrzucenie oferty.</w:t>
      </w:r>
    </w:p>
    <w:p w14:paraId="1F21F82F" w14:textId="77777777" w:rsidR="009E51CD" w:rsidRPr="00534B7D" w:rsidRDefault="009E51CD" w:rsidP="009E51CD">
      <w:pPr>
        <w:numPr>
          <w:ilvl w:val="0"/>
          <w:numId w:val="6"/>
        </w:numPr>
        <w:shd w:val="clear" w:color="auto" w:fill="FFFFFF"/>
        <w:tabs>
          <w:tab w:val="left" w:pos="670"/>
        </w:tabs>
        <w:spacing w:line="240" w:lineRule="auto"/>
        <w:ind w:right="7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Z przeprowadzonego badania próbki Zamawiający sporządzi protokół. </w:t>
      </w:r>
    </w:p>
    <w:p w14:paraId="753AD9EB" w14:textId="77777777" w:rsidR="009E51CD" w:rsidRPr="00534B7D" w:rsidRDefault="009E51CD" w:rsidP="009E51CD">
      <w:pPr>
        <w:spacing w:line="240" w:lineRule="auto"/>
        <w:rPr>
          <w:rFonts w:ascii="Segoe UI Light" w:eastAsia="Times New Roman" w:hAnsi="Segoe UI Light" w:cs="Segoe UI Light"/>
        </w:rPr>
      </w:pPr>
    </w:p>
    <w:p w14:paraId="6DC70B13" w14:textId="77777777" w:rsidR="009E51CD" w:rsidRPr="00534B7D" w:rsidRDefault="009E51CD" w:rsidP="009E51CD">
      <w:pPr>
        <w:numPr>
          <w:ilvl w:val="0"/>
          <w:numId w:val="1"/>
        </w:numPr>
        <w:spacing w:line="240" w:lineRule="auto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>Scenariusze badania próbki</w:t>
      </w:r>
    </w:p>
    <w:p w14:paraId="0800B7BD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yellow"/>
        </w:rPr>
      </w:pPr>
    </w:p>
    <w:p w14:paraId="1E958D6D" w14:textId="77777777" w:rsidR="009E51CD" w:rsidRPr="00534B7D" w:rsidRDefault="009E51CD" w:rsidP="009E51CD">
      <w:pPr>
        <w:spacing w:line="240" w:lineRule="auto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OBSZAR: </w:t>
      </w:r>
      <w:r w:rsidRPr="00534B7D">
        <w:rPr>
          <w:rFonts w:ascii="Segoe UI Light" w:eastAsia="Times New Roman" w:hAnsi="Segoe UI Light" w:cs="Segoe UI Light"/>
          <w:b/>
        </w:rPr>
        <w:t>System Informacji Przestrzennej</w:t>
      </w:r>
      <w:r w:rsidRPr="00534B7D">
        <w:rPr>
          <w:rFonts w:ascii="Segoe UI Light" w:eastAsia="Times New Roman" w:hAnsi="Segoe UI Light" w:cs="Segoe UI Light"/>
        </w:rPr>
        <w:t xml:space="preserve"> </w:t>
      </w:r>
    </w:p>
    <w:p w14:paraId="6A5F582D" w14:textId="77777777" w:rsidR="009E51CD" w:rsidRPr="00534B7D" w:rsidRDefault="009E51CD" w:rsidP="009E51CD">
      <w:pPr>
        <w:spacing w:line="240" w:lineRule="auto"/>
        <w:rPr>
          <w:rFonts w:ascii="Segoe UI Light" w:eastAsia="Times New Roman" w:hAnsi="Segoe UI Light" w:cs="Segoe UI Light"/>
        </w:rPr>
      </w:pPr>
    </w:p>
    <w:p w14:paraId="66C69E6C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Wykonawca zaprezentuje funkcjonalność Systemu Informacji Przestrzennej w zakresie oprogramowania wewnętrznego i zewnętrznego (portal mapowy). </w:t>
      </w:r>
    </w:p>
    <w:p w14:paraId="6CB87A89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</w:p>
    <w:p w14:paraId="7C41C9C9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W prezentacji dla System Informacji Przestrzennej - w części portalu mapowego (scenariusz 1 - 3), Wykonawca może korzystać z dostępu do </w:t>
      </w:r>
      <w:proofErr w:type="spellStart"/>
      <w:r w:rsidRPr="00534B7D">
        <w:rPr>
          <w:rFonts w:ascii="Segoe UI Light" w:eastAsia="Times New Roman" w:hAnsi="Segoe UI Light" w:cs="Segoe UI Light"/>
        </w:rPr>
        <w:t>internetu</w:t>
      </w:r>
      <w:proofErr w:type="spellEnd"/>
      <w:r w:rsidRPr="00534B7D">
        <w:rPr>
          <w:rFonts w:ascii="Segoe UI Light" w:eastAsia="Times New Roman" w:hAnsi="Segoe UI Light" w:cs="Segoe UI Light"/>
        </w:rPr>
        <w:t xml:space="preserve">. </w:t>
      </w:r>
    </w:p>
    <w:p w14:paraId="02E71324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</w:p>
    <w:p w14:paraId="75D60DF0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Wszystkie dokumenty, o których mowa w scenariuszach, powinny zostać wygenerowany automatycznie przy wykorzystaniu dedykowanych narzędzi GIS. </w:t>
      </w:r>
    </w:p>
    <w:p w14:paraId="2FE1A36E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</w:p>
    <w:p w14:paraId="7E478B73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</w:rPr>
        <w:t xml:space="preserve">Zamawiający nie określa, dla jakiej nieruchomości i dla jakich danych przestrzennych powinny być wykonane kroki, jednak kroki powinny zostać zaprezentowane w taki sposób, aby możliwa była jednoznaczna ocena funkcjonalności oferowanego oprogramowania. </w:t>
      </w:r>
    </w:p>
    <w:p w14:paraId="19BDA87A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u w:val="single"/>
        </w:rPr>
      </w:pPr>
    </w:p>
    <w:p w14:paraId="1BF500CD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  <w:r w:rsidRPr="00534B7D">
        <w:rPr>
          <w:rFonts w:ascii="Segoe UI Light" w:eastAsia="Times New Roman" w:hAnsi="Segoe UI Light" w:cs="Segoe UI Light"/>
          <w:b/>
          <w:u w:val="single"/>
        </w:rPr>
        <w:t xml:space="preserve">Scenariusz 1 - utworzenie portalu mapowego </w:t>
      </w:r>
    </w:p>
    <w:p w14:paraId="4335986B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yellow"/>
        </w:rPr>
      </w:pPr>
    </w:p>
    <w:tbl>
      <w:tblPr>
        <w:tblW w:w="9735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E51CD" w:rsidRPr="00534B7D" w14:paraId="7E41D57B" w14:textId="77777777" w:rsidTr="00534B7D">
        <w:trPr>
          <w:trHeight w:val="31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52678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W aplikacji desktop GIS należy przygotować projekt w układzie PUWG1992.</w:t>
            </w:r>
          </w:p>
        </w:tc>
      </w:tr>
      <w:tr w:rsidR="009E51CD" w:rsidRPr="00534B7D" w14:paraId="479700EF" w14:textId="77777777" w:rsidTr="00534B7D">
        <w:trPr>
          <w:trHeight w:val="73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A7D4AF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Dla przygotowanego projektu należy stworzyć minimum 3 kompozycje dla tego samego obszaru. (Minimum obszar gminy). W każdej z kompozycji muszą być co najmniej 4 warstwy przestrzenne (punktowa, liniowa i poligonowa oraz raster).</w:t>
            </w:r>
          </w:p>
        </w:tc>
      </w:tr>
      <w:tr w:rsidR="009E51CD" w:rsidRPr="00534B7D" w14:paraId="675119E6" w14:textId="77777777" w:rsidTr="00534B7D">
        <w:trPr>
          <w:trHeight w:val="97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0BB5FB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Opis stylizacji warstw: poligony (poligon brak wypełnienia, z obrysem linią ciągłą; kartogram; wypełnienie ze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szrafurą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 dwukolorową w paski) linie (ciągłe; zależne od danych; przerywane) punkty (wielkość punktu zależna od danych; z wykorzystaniem symbolu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svg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; prosty symbol)</w:t>
            </w:r>
          </w:p>
        </w:tc>
      </w:tr>
      <w:tr w:rsidR="009E51CD" w:rsidRPr="00534B7D" w14:paraId="2ADDAF8A" w14:textId="77777777" w:rsidTr="00534B7D">
        <w:trPr>
          <w:trHeight w:val="31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5B83D8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Dane muszą posiadać etykiety</w:t>
            </w:r>
          </w:p>
        </w:tc>
      </w:tr>
      <w:tr w:rsidR="009E51CD" w:rsidRPr="00534B7D" w14:paraId="525B4342" w14:textId="77777777" w:rsidTr="00534B7D">
        <w:trPr>
          <w:trHeight w:val="31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41235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Dane oraz etykiety muszą mieć ustawione wyświetlanie w zależności od skali</w:t>
            </w:r>
          </w:p>
        </w:tc>
      </w:tr>
      <w:tr w:rsidR="009E51CD" w:rsidRPr="00534B7D" w14:paraId="5CCEA2BD" w14:textId="77777777" w:rsidTr="00534B7D">
        <w:trPr>
          <w:trHeight w:val="49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302A2C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lastRenderedPageBreak/>
              <w:t>Z poziomu portalu wykorzystując interfejs graficzny stworzony powyżej projekt należy zaimportować do portalu mapowego.</w:t>
            </w:r>
          </w:p>
        </w:tc>
      </w:tr>
      <w:tr w:rsidR="009E51CD" w:rsidRPr="00534B7D" w14:paraId="61993578" w14:textId="77777777" w:rsidTr="00534B7D">
        <w:trPr>
          <w:trHeight w:val="49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4614CF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Import portalu musi przejść walidację poprawności i przekazać informację do użytkownika.</w:t>
            </w:r>
          </w:p>
        </w:tc>
      </w:tr>
      <w:tr w:rsidR="009E51CD" w:rsidRPr="00534B7D" w14:paraId="541212B3" w14:textId="77777777" w:rsidTr="00534B7D">
        <w:trPr>
          <w:trHeight w:val="73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A52891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Z poziomu Administratora należy utworzyć portal, podając jego nazwę,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subnazwę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, logo (znak graficzny), przedział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skalowy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 w jakim ma się wyświetlać portal.</w:t>
            </w:r>
          </w:p>
        </w:tc>
      </w:tr>
      <w:tr w:rsidR="009E51CD" w:rsidRPr="00534B7D" w14:paraId="238E34D7" w14:textId="77777777" w:rsidTr="00534B7D">
        <w:trPr>
          <w:trHeight w:val="49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43691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Ponadto należy ustawić kolorystykę portalu oraz ustawić portal w tryb niepubliczny (dostępny tylko po zalogowaniu).</w:t>
            </w:r>
          </w:p>
        </w:tc>
      </w:tr>
      <w:tr w:rsidR="009E51CD" w:rsidRPr="00534B7D" w14:paraId="5AC87D20" w14:textId="77777777" w:rsidTr="00534B7D">
        <w:trPr>
          <w:trHeight w:val="31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8DDF9E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uruchomić portal</w:t>
            </w:r>
          </w:p>
        </w:tc>
      </w:tr>
      <w:tr w:rsidR="009E51CD" w:rsidRPr="00534B7D" w14:paraId="1DB8BCE8" w14:textId="77777777" w:rsidTr="00534B7D">
        <w:trPr>
          <w:trHeight w:val="73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750E76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Zaprezentować identyczność symbolizacji i etykiet zastosowanej na desktopie oraz drzewo warstw oraz włączenie i wyłączenie widoczności warstwy oraz zmianę przezroczystości</w:t>
            </w:r>
          </w:p>
        </w:tc>
      </w:tr>
      <w:tr w:rsidR="009E51CD" w:rsidRPr="00534B7D" w14:paraId="03D87BEE" w14:textId="77777777" w:rsidTr="00534B7D">
        <w:trPr>
          <w:trHeight w:val="49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3C34E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Zaprezentować przełączanie pomiędzy kompozycjami oraz zmianę ich kolejności przez Administratora</w:t>
            </w:r>
          </w:p>
        </w:tc>
      </w:tr>
      <w:tr w:rsidR="009E51CD" w:rsidRPr="00534B7D" w14:paraId="443BBD2C" w14:textId="77777777" w:rsidTr="00534B7D">
        <w:trPr>
          <w:trHeight w:val="73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16FEDA" w14:textId="77777777" w:rsidR="009E51CD" w:rsidRPr="00534B7D" w:rsidRDefault="009E51CD" w:rsidP="00534B7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Zaprezentować zmianę wielkości czcionki oraz zastosować kontrast jako pomoc dla słabowidzących (zamawiający posiada wiedzę o wyłączeniu portali mapowych z wymagań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wcag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)</w:t>
            </w:r>
          </w:p>
        </w:tc>
      </w:tr>
    </w:tbl>
    <w:p w14:paraId="42D521DE" w14:textId="5ED70B00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</w:rPr>
      </w:pPr>
    </w:p>
    <w:p w14:paraId="7ACDECB1" w14:textId="77777777" w:rsidR="00534B7D" w:rsidRPr="00534B7D" w:rsidRDefault="00534B7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</w:rPr>
      </w:pPr>
    </w:p>
    <w:p w14:paraId="0581162C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  <w:r w:rsidRPr="00534B7D">
        <w:rPr>
          <w:rFonts w:ascii="Segoe UI Light" w:eastAsia="Times New Roman" w:hAnsi="Segoe UI Light" w:cs="Segoe UI Light"/>
          <w:b/>
          <w:highlight w:val="white"/>
          <w:u w:val="single"/>
        </w:rPr>
        <w:t xml:space="preserve">Scenariusz 2 - konfigurowanie panelu informacyjnego </w:t>
      </w:r>
    </w:p>
    <w:p w14:paraId="573A0CC8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</w:p>
    <w:tbl>
      <w:tblPr>
        <w:tblW w:w="9720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9E51CD" w:rsidRPr="00534B7D" w14:paraId="204F4F8D" w14:textId="77777777" w:rsidTr="00EB6D56">
        <w:trPr>
          <w:trHeight w:val="315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092EA5" w14:textId="77777777" w:rsidR="009E51CD" w:rsidRPr="00534B7D" w:rsidRDefault="009E51CD" w:rsidP="00534B7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Zaprezentować okno/okna tworzenia panelu informacyjnego</w:t>
            </w:r>
          </w:p>
        </w:tc>
      </w:tr>
      <w:tr w:rsidR="009E51CD" w:rsidRPr="00534B7D" w14:paraId="5CF3FC7C" w14:textId="77777777" w:rsidTr="00EB6D56">
        <w:trPr>
          <w:trHeight w:val="315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ABA55F" w14:textId="77777777" w:rsidR="009E51CD" w:rsidRPr="00534B7D" w:rsidRDefault="009E51CD" w:rsidP="00534B7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Możliwość wyświetlenia dostępnych kompozycji jako listy lub okienek</w:t>
            </w:r>
          </w:p>
        </w:tc>
      </w:tr>
      <w:tr w:rsidR="009E51CD" w:rsidRPr="00534B7D" w14:paraId="431FCA64" w14:textId="77777777" w:rsidTr="00EB6D56">
        <w:trPr>
          <w:trHeight w:val="975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2A0C1F" w14:textId="77777777" w:rsidR="009E51CD" w:rsidRPr="00534B7D" w:rsidRDefault="009E51CD" w:rsidP="00534B7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Utworzenie dla każdej z wyżej wymienionych kompozycji panelu informacyjnego, według następujących kryteriów: możliwość przypisania co najmniej wyszukiwarki działek i adresów oraz panele: kompozycje mapowe, warstwy, informacje ogólne także z możliwością zwijania i rozwijania dowolnego panelu.</w:t>
            </w:r>
          </w:p>
        </w:tc>
      </w:tr>
      <w:tr w:rsidR="009E51CD" w:rsidRPr="00534B7D" w14:paraId="79A988AB" w14:textId="77777777" w:rsidTr="00EB6D56">
        <w:trPr>
          <w:trHeight w:val="495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A442F5" w14:textId="77777777" w:rsidR="009E51CD" w:rsidRPr="00534B7D" w:rsidRDefault="009E51CD" w:rsidP="00534B7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kompozycja A - posiadająca wyszukiwarkę działek oraz adresów; kompozycje mapowe;</w:t>
            </w:r>
          </w:p>
        </w:tc>
      </w:tr>
      <w:tr w:rsidR="009E51CD" w:rsidRPr="00534B7D" w14:paraId="58A209B6" w14:textId="77777777" w:rsidTr="00EB6D56">
        <w:trPr>
          <w:trHeight w:val="495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ECF5E3" w14:textId="77777777" w:rsidR="009E51CD" w:rsidRPr="00534B7D" w:rsidRDefault="009E51CD" w:rsidP="00534B7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kompozycja B - posiadająca wyszukiwarkę działek oraz adresów; kompozycje mapowe; warstwy; informacje ogólne - domyślnie rozwinięte warstwy</w:t>
            </w:r>
          </w:p>
        </w:tc>
      </w:tr>
      <w:tr w:rsidR="009E51CD" w:rsidRPr="00534B7D" w14:paraId="5FAC751A" w14:textId="77777777" w:rsidTr="00EB6D56">
        <w:trPr>
          <w:trHeight w:val="495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B7BE2" w14:textId="77777777" w:rsidR="009E51CD" w:rsidRPr="00534B7D" w:rsidRDefault="009E51CD" w:rsidP="00534B7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kompozycja C - posiadająca kompozycje; panel warstw - domyślnie rozwinięte kompozycje</w:t>
            </w:r>
          </w:p>
        </w:tc>
      </w:tr>
      <w:tr w:rsidR="009E51CD" w:rsidRPr="00534B7D" w14:paraId="28FC7A6F" w14:textId="77777777" w:rsidTr="00EB6D56">
        <w:trPr>
          <w:trHeight w:val="315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1544C7" w14:textId="77777777" w:rsidR="009E51CD" w:rsidRPr="00534B7D" w:rsidRDefault="009E51CD" w:rsidP="00534B7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wyłączyć w kompozycji C panel warstw</w:t>
            </w:r>
          </w:p>
        </w:tc>
      </w:tr>
      <w:tr w:rsidR="009E51CD" w:rsidRPr="00534B7D" w14:paraId="6CE410EE" w14:textId="77777777" w:rsidTr="00EB6D56">
        <w:trPr>
          <w:trHeight w:val="495"/>
        </w:trPr>
        <w:tc>
          <w:tcPr>
            <w:tcW w:w="9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F1BCC7" w14:textId="77777777" w:rsidR="009E51CD" w:rsidRPr="00534B7D" w:rsidRDefault="009E51CD" w:rsidP="00534B7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dodać do kompozycji A warstwy i informacje ogólne oraz ustawić informacje ogólne jako domyślnie rozwinięte</w:t>
            </w:r>
          </w:p>
        </w:tc>
      </w:tr>
    </w:tbl>
    <w:p w14:paraId="046A775F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</w:p>
    <w:p w14:paraId="03722333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</w:p>
    <w:p w14:paraId="4CBD0B08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  <w:r w:rsidRPr="00534B7D">
        <w:rPr>
          <w:rFonts w:ascii="Segoe UI Light" w:eastAsia="Times New Roman" w:hAnsi="Segoe UI Light" w:cs="Segoe UI Light"/>
          <w:b/>
          <w:highlight w:val="white"/>
          <w:u w:val="single"/>
        </w:rPr>
        <w:t>Scenariusz 3 - pomiary</w:t>
      </w:r>
    </w:p>
    <w:p w14:paraId="0B5D11E5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</w:p>
    <w:tbl>
      <w:tblPr>
        <w:tblW w:w="9735" w:type="dxa"/>
        <w:tblInd w:w="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E51CD" w:rsidRPr="00534B7D" w14:paraId="710A5EF4" w14:textId="77777777" w:rsidTr="00534B7D">
        <w:trPr>
          <w:trHeight w:val="31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9DB3E0" w14:textId="77777777" w:rsidR="009E51CD" w:rsidRPr="00534B7D" w:rsidRDefault="009E51CD" w:rsidP="00534B7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na portalu otworzyć panel pomiarów</w:t>
            </w:r>
          </w:p>
        </w:tc>
      </w:tr>
      <w:tr w:rsidR="009E51CD" w:rsidRPr="00534B7D" w14:paraId="62B3873B" w14:textId="77777777" w:rsidTr="00534B7D">
        <w:trPr>
          <w:trHeight w:val="49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9BAE4" w14:textId="77777777" w:rsidR="009E51CD" w:rsidRPr="00534B7D" w:rsidRDefault="009E51CD" w:rsidP="00534B7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Dokonać pomiarów powierzchni uwzględniając możliwość zablokowania kąta prostego dla linii rysowanej pod każdym kątem</w:t>
            </w:r>
          </w:p>
        </w:tc>
      </w:tr>
      <w:tr w:rsidR="009E51CD" w:rsidRPr="00534B7D" w14:paraId="6EFDE2A8" w14:textId="77777777" w:rsidTr="00534B7D">
        <w:trPr>
          <w:trHeight w:val="31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7CA70" w14:textId="77777777" w:rsidR="009E51CD" w:rsidRPr="00534B7D" w:rsidRDefault="009E51CD" w:rsidP="00534B7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Należy wyświetlić wynik pomiaru powierzchni w m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kw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 oraz w ha oraz obwód w m</w:t>
            </w:r>
          </w:p>
        </w:tc>
      </w:tr>
      <w:tr w:rsidR="009E51CD" w:rsidRPr="00534B7D" w14:paraId="5403CF70" w14:textId="77777777" w:rsidTr="00534B7D">
        <w:trPr>
          <w:trHeight w:val="31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D3B2C" w14:textId="77777777" w:rsidR="009E51CD" w:rsidRPr="00534B7D" w:rsidRDefault="009E51CD" w:rsidP="00534B7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Możliwość zapisania dokonanego pomiaru</w:t>
            </w:r>
          </w:p>
        </w:tc>
      </w:tr>
      <w:tr w:rsidR="009E51CD" w:rsidRPr="00534B7D" w14:paraId="1678E2E9" w14:textId="77777777" w:rsidTr="00534B7D">
        <w:trPr>
          <w:trHeight w:val="49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39EE54" w14:textId="77777777" w:rsidR="009E51CD" w:rsidRPr="00534B7D" w:rsidRDefault="009E51CD" w:rsidP="00534B7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Otworzenie portalu w nowej zakładce przeglądarki i wyświetlanie zapisanego pomiaru</w:t>
            </w:r>
          </w:p>
        </w:tc>
      </w:tr>
      <w:tr w:rsidR="009E51CD" w:rsidRPr="00534B7D" w14:paraId="1110925B" w14:textId="77777777" w:rsidTr="00534B7D">
        <w:trPr>
          <w:trHeight w:val="735"/>
        </w:trPr>
        <w:tc>
          <w:tcPr>
            <w:tcW w:w="9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A5C8AE" w14:textId="77777777" w:rsidR="009E51CD" w:rsidRPr="00534B7D" w:rsidRDefault="009E51CD" w:rsidP="00534B7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lastRenderedPageBreak/>
              <w:t>Następnie należy dokonać w sposób automatyczny pomiaru wskazanego obiektu (obszaru) z uwzględnieniem pomiaru obwodu i powierzchni w jednostkach jak powyżej</w:t>
            </w:r>
          </w:p>
        </w:tc>
      </w:tr>
    </w:tbl>
    <w:p w14:paraId="43CB6A0D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</w:p>
    <w:p w14:paraId="6DB04904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</w:p>
    <w:p w14:paraId="1EEE058F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  <w:r w:rsidRPr="00534B7D">
        <w:rPr>
          <w:rFonts w:ascii="Segoe UI Light" w:eastAsia="Times New Roman" w:hAnsi="Segoe UI Light" w:cs="Segoe UI Light"/>
          <w:b/>
          <w:highlight w:val="white"/>
          <w:u w:val="single"/>
        </w:rPr>
        <w:t xml:space="preserve">Scenariusz 4 - automatyczne wydawanie dokumentu </w:t>
      </w:r>
    </w:p>
    <w:p w14:paraId="2C57F007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highlight w:val="white"/>
        </w:rPr>
      </w:pPr>
    </w:p>
    <w:p w14:paraId="44A01568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  <w:r w:rsidRPr="00534B7D">
        <w:rPr>
          <w:rFonts w:ascii="Segoe UI Light" w:eastAsia="Times New Roman" w:hAnsi="Segoe UI Light" w:cs="Segoe UI Light"/>
          <w:highlight w:val="white"/>
        </w:rPr>
        <w:t>Wykonanie za pomocą gotowych narzędzi prezentowanego oprogramowania desktop GIS dokumentu zaświadczenia</w:t>
      </w:r>
    </w:p>
    <w:p w14:paraId="4C6220F4" w14:textId="77777777" w:rsidR="009E51CD" w:rsidRPr="00534B7D" w:rsidRDefault="009E51CD" w:rsidP="009E51CD">
      <w:pPr>
        <w:spacing w:line="240" w:lineRule="auto"/>
        <w:rPr>
          <w:rFonts w:ascii="Segoe UI Light" w:eastAsia="Times New Roman" w:hAnsi="Segoe UI Light" w:cs="Segoe UI Light"/>
          <w:highlight w:val="white"/>
        </w:rPr>
      </w:pPr>
    </w:p>
    <w:p w14:paraId="6B97193D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E51CD" w:rsidRPr="00534B7D" w14:paraId="671D12FB" w14:textId="77777777" w:rsidTr="00EB6D56">
        <w:tc>
          <w:tcPr>
            <w:tcW w:w="9498" w:type="dxa"/>
          </w:tcPr>
          <w:p w14:paraId="1EB028E1" w14:textId="77777777" w:rsidR="009E51CD" w:rsidRPr="00534B7D" w:rsidRDefault="009E51CD" w:rsidP="00EB6D56">
            <w:pPr>
              <w:pStyle w:val="Nagwek1"/>
              <w:spacing w:before="0" w:after="0" w:line="240" w:lineRule="auto"/>
              <w:ind w:left="360"/>
              <w:jc w:val="center"/>
              <w:rPr>
                <w:rFonts w:ascii="Segoe UI Light" w:eastAsia="Times New Roman" w:hAnsi="Segoe UI Light" w:cs="Segoe UI Light"/>
                <w:sz w:val="22"/>
                <w:szCs w:val="22"/>
                <w:highlight w:val="white"/>
              </w:rPr>
            </w:pPr>
            <w:bookmarkStart w:id="0" w:name="_o0un297u5kiw" w:colFirst="0" w:colLast="0"/>
            <w:bookmarkEnd w:id="0"/>
            <w:r w:rsidRPr="00534B7D">
              <w:rPr>
                <w:rFonts w:ascii="Segoe UI Light" w:eastAsia="Times New Roman" w:hAnsi="Segoe UI Light" w:cs="Segoe UI Light"/>
                <w:b/>
                <w:sz w:val="22"/>
                <w:szCs w:val="22"/>
                <w:highlight w:val="white"/>
              </w:rPr>
              <w:t>Opis czynności</w:t>
            </w:r>
          </w:p>
        </w:tc>
      </w:tr>
      <w:tr w:rsidR="009E51CD" w:rsidRPr="00534B7D" w14:paraId="1A7B1D45" w14:textId="77777777" w:rsidTr="00EB6D56">
        <w:tc>
          <w:tcPr>
            <w:tcW w:w="9498" w:type="dxa"/>
          </w:tcPr>
          <w:p w14:paraId="787AC9A5" w14:textId="77777777" w:rsidR="009E51CD" w:rsidRPr="00534B7D" w:rsidRDefault="009E51CD" w:rsidP="00EB6D56">
            <w:pPr>
              <w:spacing w:line="240" w:lineRule="auto"/>
              <w:jc w:val="both"/>
              <w:rPr>
                <w:rFonts w:ascii="Segoe UI Light" w:eastAsia="Times New Roman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b/>
                <w:highlight w:val="white"/>
              </w:rPr>
              <w:t>CZĘŚĆ A - PANEL KONFIGURACJI USTAWIEŃ DLA DOKUMENTU ZAŚWIADCZENIA</w:t>
            </w:r>
          </w:p>
          <w:p w14:paraId="1996B40F" w14:textId="77777777" w:rsidR="009E51CD" w:rsidRPr="00534B7D" w:rsidRDefault="009E51CD" w:rsidP="00EB6D56">
            <w:p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</w:p>
          <w:p w14:paraId="45865354" w14:textId="77777777" w:rsidR="009E51CD" w:rsidRPr="00534B7D" w:rsidRDefault="009E51CD" w:rsidP="00EB6D56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Należy za pomocą jednego spójnego okna skonfigurować uniwersalną formę dokumentu (konfiguracja elementów stałych) zaświadczenia uwzględniając: </w:t>
            </w:r>
          </w:p>
          <w:p w14:paraId="4D3799FA" w14:textId="77777777" w:rsidR="009E51CD" w:rsidRPr="00534B7D" w:rsidRDefault="009E51CD" w:rsidP="00EB6D56">
            <w:pPr>
              <w:numPr>
                <w:ilvl w:val="1"/>
                <w:numId w:val="5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zmienić nazwę dokumentu na “Informację o działce”,</w:t>
            </w:r>
          </w:p>
          <w:p w14:paraId="691AEB34" w14:textId="77777777" w:rsidR="009E51CD" w:rsidRPr="00534B7D" w:rsidRDefault="009E51CD" w:rsidP="00EB6D56">
            <w:pPr>
              <w:numPr>
                <w:ilvl w:val="1"/>
                <w:numId w:val="5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zaktualizować podstawę prawną dla dokumentu z  poziomu systemu w zakresie:</w:t>
            </w:r>
          </w:p>
          <w:p w14:paraId="48BE0C7F" w14:textId="77777777" w:rsidR="009E51CD" w:rsidRPr="00534B7D" w:rsidRDefault="009E51CD" w:rsidP="00EB6D56">
            <w:pPr>
              <w:numPr>
                <w:ilvl w:val="2"/>
                <w:numId w:val="5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wstęp zaświadczenia decyzje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wz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, </w:t>
            </w:r>
          </w:p>
          <w:p w14:paraId="3DF23F7A" w14:textId="77777777" w:rsidR="009E51CD" w:rsidRPr="00534B7D" w:rsidRDefault="009E51CD" w:rsidP="00EB6D56">
            <w:pPr>
              <w:numPr>
                <w:ilvl w:val="2"/>
                <w:numId w:val="5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wstęp zaświadczenia o braku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mpzp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,</w:t>
            </w:r>
          </w:p>
          <w:p w14:paraId="1179EEE9" w14:textId="77777777" w:rsidR="009E51CD" w:rsidRPr="00534B7D" w:rsidRDefault="009E51CD" w:rsidP="00EB6D56">
            <w:pPr>
              <w:numPr>
                <w:ilvl w:val="1"/>
                <w:numId w:val="5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Należy ustawić stały znak sprawy dla dokumentu zaświadczenia według przykładu: </w:t>
            </w:r>
            <w:r w:rsidRPr="00534B7D">
              <w:rPr>
                <w:rFonts w:ascii="Segoe UI Light" w:eastAsia="Times New Roman" w:hAnsi="Segoe UI Light" w:cs="Segoe UI Light"/>
                <w:i/>
                <w:highlight w:val="white"/>
              </w:rPr>
              <w:t>GP.2021.WZ...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i/>
                <w:highlight w:val="white"/>
              </w:rPr>
              <w:t>kolejny_nr_sprawy</w:t>
            </w:r>
            <w:proofErr w:type="spellEnd"/>
            <w:r w:rsidRPr="00534B7D">
              <w:rPr>
                <w:rFonts w:ascii="Segoe UI Light" w:eastAsia="Times New Roman" w:hAnsi="Segoe UI Light" w:cs="Segoe UI Light"/>
                <w:i/>
                <w:highlight w:val="white"/>
              </w:rPr>
              <w:t>.</w:t>
            </w:r>
          </w:p>
          <w:p w14:paraId="0DCF0DFB" w14:textId="77777777" w:rsidR="009E51CD" w:rsidRPr="00534B7D" w:rsidRDefault="009E51CD" w:rsidP="00EB6D56">
            <w:pPr>
              <w:numPr>
                <w:ilvl w:val="1"/>
                <w:numId w:val="5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Należy dodać warstwę dodatkową dla strefy ekonomicznej, występującej na terenie gminy oraz tekst dla warunku: kiedy obszar nie występuje. </w:t>
            </w:r>
          </w:p>
          <w:p w14:paraId="5B580589" w14:textId="77777777" w:rsidR="009E51CD" w:rsidRPr="00534B7D" w:rsidRDefault="009E51CD" w:rsidP="00EB6D56">
            <w:pPr>
              <w:numPr>
                <w:ilvl w:val="2"/>
                <w:numId w:val="5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Warstwa - strefa ekonomiczna powinna posiadać odniesienie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geoprzestrzenne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. </w:t>
            </w:r>
          </w:p>
          <w:p w14:paraId="5AD9512E" w14:textId="77777777" w:rsidR="009E51CD" w:rsidRPr="00534B7D" w:rsidRDefault="009E51CD" w:rsidP="00EB6D56">
            <w:pPr>
              <w:spacing w:line="240" w:lineRule="auto"/>
              <w:ind w:left="1440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</w:p>
          <w:p w14:paraId="5E0C2794" w14:textId="77777777" w:rsidR="009E51CD" w:rsidRPr="00534B7D" w:rsidRDefault="009E51CD" w:rsidP="00EB6D56">
            <w:p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b/>
                <w:highlight w:val="white"/>
              </w:rPr>
              <w:t>CZĘŚĆ B - OKNO WYDAWANIA DOKUMENTU ZAŚWIADCZENIA DLA WSKAZANYCH NIERUCHOMOŚCI</w:t>
            </w:r>
          </w:p>
          <w:p w14:paraId="135738C0" w14:textId="77777777" w:rsidR="009E51CD" w:rsidRPr="00534B7D" w:rsidRDefault="009E51CD" w:rsidP="00534B7D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Należy za pomocą jednego, spójnego okna skonfigurować dokument zaświadczenia uwzględniając: </w:t>
            </w:r>
          </w:p>
          <w:p w14:paraId="1428EB61" w14:textId="77777777" w:rsidR="009E51CD" w:rsidRPr="00534B7D" w:rsidRDefault="009E51CD" w:rsidP="00534B7D">
            <w:pPr>
              <w:numPr>
                <w:ilvl w:val="1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Dokument ma jednocześnie przedstawiać informację o:</w:t>
            </w:r>
          </w:p>
          <w:p w14:paraId="00DAA29D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Położeniu nieruchomości w miejscowym planie zagospodarowania przestrzennego, </w:t>
            </w:r>
          </w:p>
          <w:p w14:paraId="5E9D0141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Decyzjach o warunkach zabudowy wydanych na obszarze nieruchomości, </w:t>
            </w:r>
          </w:p>
          <w:p w14:paraId="4845F880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Kierunkach dla wskazanych nieruchomości w studium uwarunkowań i kierunkach zagospodarowania przestrzennego. </w:t>
            </w:r>
          </w:p>
          <w:p w14:paraId="3F5B1C4B" w14:textId="77777777" w:rsidR="009E51CD" w:rsidRPr="00534B7D" w:rsidRDefault="009E51CD" w:rsidP="00534B7D">
            <w:pPr>
              <w:numPr>
                <w:ilvl w:val="1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Dokument dodatkowo ma przedstawiać informacje dodatkowe dla nieruchomości:</w:t>
            </w:r>
          </w:p>
          <w:p w14:paraId="25594243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Położenie nieruchomości w obszarze rewitalizacji,</w:t>
            </w:r>
          </w:p>
          <w:p w14:paraId="6C4FD616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Położenie nieruchomości w strefie ekonomicznej. </w:t>
            </w:r>
          </w:p>
          <w:p w14:paraId="4DD4EA59" w14:textId="77777777" w:rsidR="009E51CD" w:rsidRPr="00534B7D" w:rsidRDefault="009E51CD" w:rsidP="00534B7D">
            <w:pPr>
              <w:numPr>
                <w:ilvl w:val="1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Dokument ma zostać wydany dla 3 nieruchomości jednocześnie, uwzględniając następujący sposób wyboru nieruchomości:</w:t>
            </w:r>
          </w:p>
          <w:p w14:paraId="7C2F48F2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Jedną z nieruchomości należy wskazać z poziomu widoku mapy,</w:t>
            </w:r>
          </w:p>
          <w:p w14:paraId="3D0E6C57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Jedną z nieruchomości należy wskazać za pomocą Panelu dodawania działki - wybór obrębu ewidencyjnego oraz rozpocząć wpisywanie numeru działki ewidencyjnej przy wykorzystaniu narzędzia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autopodpowiedzi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. </w:t>
            </w:r>
          </w:p>
          <w:p w14:paraId="6D5F2C54" w14:textId="77777777" w:rsidR="009E51CD" w:rsidRPr="00534B7D" w:rsidRDefault="009E51CD" w:rsidP="00534B7D">
            <w:pPr>
              <w:numPr>
                <w:ilvl w:val="1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Dokument ma posiadać znak sprawy, który zostanie nadany na etapie konfiguracji dokumentu. </w:t>
            </w:r>
          </w:p>
          <w:p w14:paraId="773493D7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lastRenderedPageBreak/>
              <w:t xml:space="preserve">Okno powinno przedstawiać stały znak sprawy zgodnie z pkt. 1c  </w:t>
            </w:r>
          </w:p>
          <w:p w14:paraId="37188CBA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nadać numer sprawy w dedykowanym oknie (końcowy numer sprawy)</w:t>
            </w:r>
          </w:p>
          <w:p w14:paraId="43DB8B85" w14:textId="77777777" w:rsidR="009E51CD" w:rsidRPr="00534B7D" w:rsidRDefault="009E51CD" w:rsidP="00534B7D">
            <w:pPr>
              <w:numPr>
                <w:ilvl w:val="1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Dokument zaświadczenia powinien zawierać informacje: </w:t>
            </w:r>
          </w:p>
          <w:p w14:paraId="58843FE3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Znak sprawy, </w:t>
            </w:r>
          </w:p>
          <w:p w14:paraId="6493C7BF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Dane Wnioskodawcy,</w:t>
            </w:r>
          </w:p>
          <w:p w14:paraId="1462D3E4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Dane Pełnomocnika,</w:t>
            </w:r>
          </w:p>
          <w:p w14:paraId="2E677BB7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Data wydania zaświadczenia, </w:t>
            </w:r>
          </w:p>
          <w:p w14:paraId="5301E390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Cel sporządzenia zaświadczenia,</w:t>
            </w:r>
          </w:p>
          <w:p w14:paraId="0A83DB1D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Zaświadczenie ma zawierać informacje takie jak:</w:t>
            </w:r>
          </w:p>
          <w:p w14:paraId="7F79AC2A" w14:textId="77777777" w:rsidR="009E51CD" w:rsidRPr="00534B7D" w:rsidRDefault="009E51CD" w:rsidP="00534B7D">
            <w:pPr>
              <w:numPr>
                <w:ilvl w:val="3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Dodatkowe informacje liniowe z MPZP, </w:t>
            </w:r>
          </w:p>
          <w:p w14:paraId="79CED625" w14:textId="77777777" w:rsidR="009E51CD" w:rsidRPr="00534B7D" w:rsidRDefault="009E51CD" w:rsidP="00534B7D">
            <w:pPr>
              <w:numPr>
                <w:ilvl w:val="3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Dodatkowe informacje o przeznaczeniu w decyzji WZ,</w:t>
            </w:r>
          </w:p>
          <w:p w14:paraId="0EFA3245" w14:textId="77777777" w:rsidR="009E51CD" w:rsidRPr="00534B7D" w:rsidRDefault="009E51CD" w:rsidP="00534B7D">
            <w:pPr>
              <w:numPr>
                <w:ilvl w:val="3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Status decyzji WZ, </w:t>
            </w:r>
          </w:p>
          <w:p w14:paraId="2F67390A" w14:textId="77777777" w:rsidR="009E51CD" w:rsidRPr="00534B7D" w:rsidRDefault="009E51CD" w:rsidP="00534B7D">
            <w:pPr>
              <w:numPr>
                <w:ilvl w:val="3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Miejsce na pieczęć i podpis,</w:t>
            </w:r>
          </w:p>
          <w:p w14:paraId="26040269" w14:textId="77777777" w:rsidR="009E51CD" w:rsidRPr="00534B7D" w:rsidRDefault="009E51CD" w:rsidP="00534B7D">
            <w:pPr>
              <w:numPr>
                <w:ilvl w:val="3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Miejsce na adresatów zaświadczenia. </w:t>
            </w:r>
          </w:p>
          <w:p w14:paraId="02DD3E74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Elementy (i - vi) należy skonfigurować z poziomu systemu.</w:t>
            </w:r>
          </w:p>
          <w:p w14:paraId="7CB1A67A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Informacja o powierzchni występujących elementów, o których mowa w pkt. 2a na terenie nieruchomości, powinna zostać przedstawiona jednocześnie w 2 jednostkach: [%] i [ha].</w:t>
            </w:r>
          </w:p>
          <w:p w14:paraId="464C9B52" w14:textId="77777777" w:rsidR="009E51CD" w:rsidRPr="00534B7D" w:rsidRDefault="009E51CD" w:rsidP="00534B7D">
            <w:pPr>
              <w:numPr>
                <w:ilvl w:val="1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Dokument zaświadczenia ma zawierać informacje o opłacie uwzględniając: </w:t>
            </w:r>
          </w:p>
          <w:p w14:paraId="03EF7315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kwotę opłaty, </w:t>
            </w:r>
          </w:p>
          <w:p w14:paraId="141E9B63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numer konta bankowego, </w:t>
            </w:r>
          </w:p>
          <w:p w14:paraId="753BE5A0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data wpłaty,</w:t>
            </w:r>
          </w:p>
          <w:p w14:paraId="15E521F7" w14:textId="77777777" w:rsidR="009E51CD" w:rsidRPr="00534B7D" w:rsidRDefault="009E51CD" w:rsidP="00534B7D">
            <w:pPr>
              <w:numPr>
                <w:ilvl w:val="2"/>
                <w:numId w:val="9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elementy (i - iii) należy skonfigurować za pomocą dedykowanego okna. </w:t>
            </w:r>
          </w:p>
          <w:p w14:paraId="1254B782" w14:textId="77777777" w:rsidR="009E51CD" w:rsidRPr="00534B7D" w:rsidRDefault="009E51CD" w:rsidP="00EB6D56">
            <w:p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</w:p>
          <w:p w14:paraId="5710A13C" w14:textId="77777777" w:rsidR="009E51CD" w:rsidRPr="00534B7D" w:rsidRDefault="009E51CD" w:rsidP="00EB6D56">
            <w:p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b/>
                <w:highlight w:val="white"/>
              </w:rPr>
              <w:t xml:space="preserve">CZĘŚĆ C - GOTOWY DOKUMENT ZAŚWIADCZENIA </w:t>
            </w:r>
          </w:p>
          <w:p w14:paraId="34065EAD" w14:textId="77777777" w:rsidR="009E51CD" w:rsidRPr="00534B7D" w:rsidRDefault="009E51CD" w:rsidP="00534B7D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Gotowy dokument zaświadczenia powinien obejmować: </w:t>
            </w:r>
          </w:p>
          <w:p w14:paraId="736AF18E" w14:textId="77777777" w:rsidR="009E51CD" w:rsidRPr="00534B7D" w:rsidRDefault="009E51CD" w:rsidP="00534B7D">
            <w:pPr>
              <w:numPr>
                <w:ilvl w:val="1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Numer sprawy,</w:t>
            </w:r>
          </w:p>
          <w:p w14:paraId="68C1C533" w14:textId="77777777" w:rsidR="009E51CD" w:rsidRPr="00534B7D" w:rsidRDefault="009E51CD" w:rsidP="00534B7D">
            <w:pPr>
              <w:numPr>
                <w:ilvl w:val="1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Datę wydania dokumentu,</w:t>
            </w:r>
          </w:p>
          <w:p w14:paraId="6CB73607" w14:textId="77777777" w:rsidR="009E51CD" w:rsidRPr="00534B7D" w:rsidRDefault="009E51CD" w:rsidP="00534B7D">
            <w:pPr>
              <w:numPr>
                <w:ilvl w:val="1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Dane wnioskodawcy, </w:t>
            </w:r>
          </w:p>
          <w:p w14:paraId="4BA09816" w14:textId="77777777" w:rsidR="009E51CD" w:rsidRPr="00534B7D" w:rsidRDefault="009E51CD" w:rsidP="00534B7D">
            <w:pPr>
              <w:numPr>
                <w:ilvl w:val="1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Tytuł dokumentu,</w:t>
            </w:r>
          </w:p>
          <w:p w14:paraId="6AF77369" w14:textId="77777777" w:rsidR="009E51CD" w:rsidRPr="00534B7D" w:rsidRDefault="009E51CD" w:rsidP="00534B7D">
            <w:pPr>
              <w:numPr>
                <w:ilvl w:val="1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Podstawę prawną dot. wydania dokumentu,</w:t>
            </w:r>
          </w:p>
          <w:p w14:paraId="321360CE" w14:textId="77777777" w:rsidR="009E51CD" w:rsidRPr="00534B7D" w:rsidRDefault="009E51CD" w:rsidP="00534B7D">
            <w:pPr>
              <w:numPr>
                <w:ilvl w:val="1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Informacja dla każdej z trzech nieruchomości w gotowym dokumencie zaświadczenia, powinna zostać wskazana oddzielnie dla każdej nieruchomości i dla każdego rejestru, o  którym mowa w punkcie 2. </w:t>
            </w:r>
          </w:p>
          <w:p w14:paraId="2C759AC6" w14:textId="77777777" w:rsidR="009E51CD" w:rsidRPr="00534B7D" w:rsidRDefault="009E51CD" w:rsidP="00534B7D">
            <w:pPr>
              <w:numPr>
                <w:ilvl w:val="2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Informacje dla trzech nieruchomości mają zostać wygenerowane w jednym, spójnym dokumencie, który stanowi ZAŚWIADCZENIE. </w:t>
            </w:r>
          </w:p>
          <w:p w14:paraId="36BF72E6" w14:textId="77777777" w:rsidR="009E51CD" w:rsidRPr="00534B7D" w:rsidRDefault="009E51CD" w:rsidP="00534B7D">
            <w:pPr>
              <w:numPr>
                <w:ilvl w:val="2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W przypadku braku któregoś z rejestrów na działce, o którym mowa w punkcie 2, dokument zaświadczenia powinien zawierać informację, że dany rejestr nie występuje w obszarze nieruchomości. </w:t>
            </w:r>
          </w:p>
          <w:p w14:paraId="69A7BAA4" w14:textId="77777777" w:rsidR="009E51CD" w:rsidRPr="00534B7D" w:rsidRDefault="009E51CD" w:rsidP="00534B7D">
            <w:pPr>
              <w:numPr>
                <w:ilvl w:val="1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Dokument zaświadczenia ma zawierać herb i stopkę gminy. </w:t>
            </w:r>
          </w:p>
          <w:p w14:paraId="62B024A8" w14:textId="77777777" w:rsidR="009E51CD" w:rsidRPr="00534B7D" w:rsidRDefault="009E51CD" w:rsidP="00534B7D">
            <w:pPr>
              <w:numPr>
                <w:ilvl w:val="1"/>
                <w:numId w:val="10"/>
              </w:numPr>
              <w:spacing w:line="240" w:lineRule="auto"/>
              <w:jc w:val="both"/>
              <w:rPr>
                <w:rFonts w:ascii="Segoe UI Light" w:eastAsia="Times New Roman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Dokument zaświadczenia powinien zawierać klauzulę RODO na końcu dokumentu.</w:t>
            </w:r>
          </w:p>
        </w:tc>
      </w:tr>
    </w:tbl>
    <w:p w14:paraId="001EAA8D" w14:textId="1CDDE81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highlight w:val="white"/>
        </w:rPr>
      </w:pPr>
    </w:p>
    <w:p w14:paraId="081D843D" w14:textId="77777777" w:rsidR="00534B7D" w:rsidRPr="00534B7D" w:rsidRDefault="00534B7D" w:rsidP="009E51CD">
      <w:pPr>
        <w:spacing w:line="240" w:lineRule="auto"/>
        <w:jc w:val="both"/>
        <w:rPr>
          <w:rFonts w:ascii="Segoe UI Light" w:eastAsia="Times New Roman" w:hAnsi="Segoe UI Light" w:cs="Segoe UI Light"/>
          <w:highlight w:val="white"/>
        </w:rPr>
      </w:pPr>
    </w:p>
    <w:p w14:paraId="33818577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  <w:r w:rsidRPr="00534B7D">
        <w:rPr>
          <w:rFonts w:ascii="Segoe UI Light" w:eastAsia="Times New Roman" w:hAnsi="Segoe UI Light" w:cs="Segoe UI Light"/>
          <w:b/>
          <w:highlight w:val="white"/>
          <w:u w:val="single"/>
        </w:rPr>
        <w:t xml:space="preserve">Scenariusz 5 - podstawowe funkcjonalności  </w:t>
      </w:r>
    </w:p>
    <w:p w14:paraId="0AEA0073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highlight w:val="white"/>
        </w:rPr>
      </w:pPr>
      <w:r w:rsidRPr="00534B7D">
        <w:rPr>
          <w:rFonts w:ascii="Segoe UI Light" w:eastAsia="Times New Roman" w:hAnsi="Segoe UI Light" w:cs="Segoe UI Light"/>
          <w:highlight w:val="white"/>
        </w:rPr>
        <w:t>Wykonanie za pomocą gotowych narzędzi prezentowanego oprogramowania desktop GIS czynności związanych z zarządzaniem i prezentowaniem danych przestrzennych.</w:t>
      </w:r>
    </w:p>
    <w:p w14:paraId="4E1FF1F3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  <w:b/>
          <w:highlight w:val="white"/>
          <w:u w:val="single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E51CD" w:rsidRPr="00534B7D" w14:paraId="08F047FA" w14:textId="77777777" w:rsidTr="00EB6D56">
        <w:tc>
          <w:tcPr>
            <w:tcW w:w="9498" w:type="dxa"/>
          </w:tcPr>
          <w:p w14:paraId="3A91DDA1" w14:textId="77777777" w:rsidR="009E51CD" w:rsidRPr="00534B7D" w:rsidRDefault="009E51CD" w:rsidP="00EB6D56">
            <w:pPr>
              <w:pStyle w:val="Nagwek1"/>
              <w:spacing w:before="0" w:after="0" w:line="240" w:lineRule="auto"/>
              <w:ind w:left="360"/>
              <w:jc w:val="center"/>
              <w:rPr>
                <w:rFonts w:ascii="Segoe UI Light" w:eastAsia="Times New Roman" w:hAnsi="Segoe UI Light" w:cs="Segoe UI Light"/>
                <w:sz w:val="22"/>
                <w:szCs w:val="22"/>
                <w:highlight w:val="white"/>
              </w:rPr>
            </w:pPr>
            <w:bookmarkStart w:id="1" w:name="_i0vnrnc1xik3" w:colFirst="0" w:colLast="0"/>
            <w:bookmarkEnd w:id="1"/>
            <w:r w:rsidRPr="00534B7D">
              <w:rPr>
                <w:rFonts w:ascii="Segoe UI Light" w:eastAsia="Times New Roman" w:hAnsi="Segoe UI Light" w:cs="Segoe UI Light"/>
                <w:b/>
                <w:sz w:val="22"/>
                <w:szCs w:val="22"/>
                <w:highlight w:val="white"/>
              </w:rPr>
              <w:t>Opis czynności</w:t>
            </w:r>
          </w:p>
        </w:tc>
      </w:tr>
      <w:tr w:rsidR="009E51CD" w:rsidRPr="00534B7D" w14:paraId="39873D75" w14:textId="77777777" w:rsidTr="00EB6D56">
        <w:tc>
          <w:tcPr>
            <w:tcW w:w="9498" w:type="dxa"/>
          </w:tcPr>
          <w:p w14:paraId="50E8130C" w14:textId="77777777" w:rsidR="009E51CD" w:rsidRPr="00534B7D" w:rsidRDefault="009E51CD" w:rsidP="00EB6D56">
            <w:pPr>
              <w:spacing w:line="240" w:lineRule="auto"/>
              <w:jc w:val="both"/>
              <w:rPr>
                <w:rFonts w:ascii="Segoe UI Light" w:eastAsia="Times New Roman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b/>
                <w:highlight w:val="white"/>
              </w:rPr>
              <w:t>CZĘŚĆ A - WYDRUK BIEŻĄCE WYDRUKU MAPY</w:t>
            </w:r>
          </w:p>
          <w:p w14:paraId="722F98CF" w14:textId="77777777" w:rsidR="009E51CD" w:rsidRPr="00534B7D" w:rsidRDefault="009E51CD" w:rsidP="00EB6D56">
            <w:pPr>
              <w:numPr>
                <w:ilvl w:val="0"/>
                <w:numId w:val="2"/>
              </w:numPr>
              <w:shd w:val="clear" w:color="auto" w:fill="FFFFFF"/>
              <w:spacing w:before="240" w:line="240" w:lineRule="auto"/>
              <w:rPr>
                <w:rFonts w:ascii="Segoe UI Light" w:hAnsi="Segoe UI Light" w:cs="Segoe UI Light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lastRenderedPageBreak/>
              <w:t>Wybranie dedykowanego okna do generowania wydruków map. Wykonanie mapy dla dowolnego obszaru.</w:t>
            </w:r>
          </w:p>
          <w:p w14:paraId="27063B28" w14:textId="77777777" w:rsidR="009E51CD" w:rsidRPr="00534B7D" w:rsidRDefault="009E51CD" w:rsidP="00EB6D56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Przygotowanie podkładu mapowy, który składa się z następujących warstw:</w:t>
            </w:r>
          </w:p>
          <w:p w14:paraId="35182E0C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Granice administracyjne: granica powiatu, granica miasta/gminy, obręby ewidencyjne, działki ewidencyjne,</w:t>
            </w:r>
          </w:p>
          <w:p w14:paraId="7BAB44E4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Dane przestrzenne: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mpzp</w:t>
            </w:r>
            <w:proofErr w:type="spellEnd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, wnioski o zmianę </w:t>
            </w:r>
            <w:proofErr w:type="spellStart"/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mpzp</w:t>
            </w:r>
            <w:proofErr w:type="spellEnd"/>
          </w:p>
          <w:p w14:paraId="747EEA6B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Przygotowany podkład mapowy ustawić w podglądzie dla skali 1:5000.</w:t>
            </w:r>
          </w:p>
          <w:p w14:paraId="43F3F3FF" w14:textId="77777777" w:rsidR="009E51CD" w:rsidRPr="00534B7D" w:rsidRDefault="009E51CD" w:rsidP="00EB6D56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Okno narzędzia do generowania wydruku z mapy, powinno zawierać następujące ustawienia:</w:t>
            </w:r>
          </w:p>
          <w:p w14:paraId="00E4517C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Tytuł wydruku, w polu wypełnić: „Mapa testowa dnia ….”,</w:t>
            </w:r>
          </w:p>
          <w:p w14:paraId="5216BF56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Możliwość dodania skali do mapy,</w:t>
            </w:r>
          </w:p>
          <w:p w14:paraId="4DB73669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Możliwość wyboru orientacji wydruku (pozioma/pionowa),</w:t>
            </w:r>
          </w:p>
          <w:p w14:paraId="08AF3C3B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Możliwość dodania adnotacji tekstowej,</w:t>
            </w:r>
          </w:p>
          <w:p w14:paraId="45A64DFE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Możliwość wyboru formatu arkusza A4-A0,</w:t>
            </w:r>
          </w:p>
          <w:p w14:paraId="180AE9B5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Możliwość wyboru formatu zapisu : PDF, PNG, JPG ,</w:t>
            </w:r>
          </w:p>
          <w:p w14:paraId="75B495D3" w14:textId="77777777" w:rsidR="009E51CD" w:rsidRPr="00534B7D" w:rsidRDefault="009E51CD" w:rsidP="00EB6D56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Zatwierdzenie wszystkich opisanych ustawień oraz wykonanie podglądu mapy w formacie PDF</w:t>
            </w:r>
          </w:p>
          <w:p w14:paraId="2BE4AE06" w14:textId="77777777" w:rsidR="009E51CD" w:rsidRPr="00534B7D" w:rsidRDefault="009E51CD" w:rsidP="00EB6D56">
            <w:pPr>
              <w:shd w:val="clear" w:color="auto" w:fill="FFFFFF"/>
              <w:spacing w:line="240" w:lineRule="auto"/>
              <w:ind w:left="1440"/>
              <w:rPr>
                <w:rFonts w:ascii="Segoe UI Light" w:eastAsia="Times New Roman" w:hAnsi="Segoe UI Light" w:cs="Segoe UI Light"/>
                <w:highlight w:val="white"/>
              </w:rPr>
            </w:pPr>
          </w:p>
          <w:p w14:paraId="7EF4E515" w14:textId="77777777" w:rsidR="009E51CD" w:rsidRPr="00534B7D" w:rsidRDefault="009E51CD" w:rsidP="00EB6D56">
            <w:pPr>
              <w:shd w:val="clear" w:color="auto" w:fill="FFFFFF"/>
              <w:spacing w:line="240" w:lineRule="auto"/>
              <w:rPr>
                <w:rFonts w:ascii="Segoe UI Light" w:eastAsia="Times New Roman" w:hAnsi="Segoe UI Light" w:cs="Segoe UI Light"/>
                <w:b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b/>
                <w:highlight w:val="white"/>
              </w:rPr>
              <w:t>CZĘŚĆ B - KONFIGURACJA UPRAWNIEŃ UŻYTKOWNIKÓW WEWNĘTRZNYCH</w:t>
            </w:r>
          </w:p>
          <w:p w14:paraId="14054CB8" w14:textId="77777777" w:rsidR="009E51CD" w:rsidRPr="00534B7D" w:rsidRDefault="009E51CD" w:rsidP="00534B7D">
            <w:pPr>
              <w:numPr>
                <w:ilvl w:val="0"/>
                <w:numId w:val="11"/>
              </w:numPr>
              <w:shd w:val="clear" w:color="auto" w:fill="FFFFFF"/>
              <w:spacing w:before="240" w:line="240" w:lineRule="auto"/>
              <w:rPr>
                <w:rFonts w:ascii="Segoe UI Light" w:hAnsi="Segoe UI Light" w:cs="Segoe UI Light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Wybranie dedykowanego, spójnego stylistyczne okna do zarządzania panelem Użytkowników. </w:t>
            </w:r>
          </w:p>
          <w:p w14:paraId="2A5CEC83" w14:textId="77777777" w:rsidR="009E51CD" w:rsidRPr="00534B7D" w:rsidRDefault="009E51CD" w:rsidP="00534B7D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skonfigurować:</w:t>
            </w:r>
          </w:p>
          <w:p w14:paraId="49EA23DF" w14:textId="77777777" w:rsidR="009E51CD" w:rsidRPr="00534B7D" w:rsidRDefault="009E51CD" w:rsidP="00534B7D">
            <w:pPr>
              <w:numPr>
                <w:ilvl w:val="1"/>
                <w:numId w:val="11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wymaganą długość hasła dla konta Użytkownika,</w:t>
            </w:r>
          </w:p>
          <w:p w14:paraId="366F0A63" w14:textId="77777777" w:rsidR="009E51CD" w:rsidRPr="00534B7D" w:rsidRDefault="009E51CD" w:rsidP="00534B7D">
            <w:pPr>
              <w:numPr>
                <w:ilvl w:val="1"/>
                <w:numId w:val="11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liczbę znaków specjalnych w haśle dla konta Użytkownika,</w:t>
            </w:r>
          </w:p>
          <w:p w14:paraId="5CEE52C7" w14:textId="77777777" w:rsidR="009E51CD" w:rsidRPr="00534B7D" w:rsidRDefault="009E51CD" w:rsidP="00534B7D">
            <w:pPr>
              <w:numPr>
                <w:ilvl w:val="1"/>
                <w:numId w:val="11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blokadę konta Użytkownika dla nieudanej próby logowania. </w:t>
            </w:r>
          </w:p>
          <w:p w14:paraId="3DEA7BD4" w14:textId="77777777" w:rsidR="009E51CD" w:rsidRPr="00534B7D" w:rsidRDefault="009E51CD" w:rsidP="00534B7D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utworzyć nowe konto Użytkownika oraz nadać uprawnienia do wybranych modułów GIS przez Administratora systemu.</w:t>
            </w:r>
          </w:p>
          <w:p w14:paraId="679D3E31" w14:textId="77777777" w:rsidR="009E51CD" w:rsidRPr="00534B7D" w:rsidRDefault="009E51CD" w:rsidP="00534B7D">
            <w:pPr>
              <w:numPr>
                <w:ilvl w:val="0"/>
                <w:numId w:val="11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>Należy zaprezentować w rejestrze Użytkowników dla dowolnego Użytkownika:</w:t>
            </w:r>
          </w:p>
          <w:p w14:paraId="1667D743" w14:textId="77777777" w:rsidR="009E51CD" w:rsidRPr="00534B7D" w:rsidRDefault="009E51CD" w:rsidP="00534B7D">
            <w:pPr>
              <w:numPr>
                <w:ilvl w:val="1"/>
                <w:numId w:val="11"/>
              </w:numPr>
              <w:shd w:val="clear" w:color="auto" w:fill="FFFFFF"/>
              <w:spacing w:line="240" w:lineRule="auto"/>
              <w:rPr>
                <w:rFonts w:ascii="Segoe UI Light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datę ostatniego logowania, </w:t>
            </w:r>
          </w:p>
          <w:p w14:paraId="7F465E7F" w14:textId="7ABFB0FE" w:rsidR="009E51CD" w:rsidRPr="00534B7D" w:rsidRDefault="009E51CD" w:rsidP="00534B7D">
            <w:pPr>
              <w:numPr>
                <w:ilvl w:val="1"/>
                <w:numId w:val="11"/>
              </w:numPr>
              <w:shd w:val="clear" w:color="auto" w:fill="FFFFFF"/>
              <w:spacing w:after="240" w:line="240" w:lineRule="auto"/>
              <w:rPr>
                <w:rFonts w:ascii="Segoe UI Light" w:hAnsi="Segoe UI Light" w:cs="Segoe UI Light"/>
                <w:highlight w:val="white"/>
              </w:rPr>
            </w:pPr>
            <w:r w:rsidRPr="00534B7D">
              <w:rPr>
                <w:rFonts w:ascii="Segoe UI Light" w:eastAsia="Times New Roman" w:hAnsi="Segoe UI Light" w:cs="Segoe UI Light"/>
                <w:highlight w:val="white"/>
              </w:rPr>
              <w:t xml:space="preserve">historię logowania. </w:t>
            </w:r>
          </w:p>
          <w:p w14:paraId="49A4275F" w14:textId="77777777" w:rsidR="009E51CD" w:rsidRPr="00534B7D" w:rsidRDefault="009E51CD" w:rsidP="00EB6D56">
            <w:pPr>
              <w:shd w:val="clear" w:color="auto" w:fill="FFFFFF"/>
              <w:spacing w:before="240" w:after="240" w:line="240" w:lineRule="auto"/>
              <w:rPr>
                <w:rFonts w:ascii="Segoe UI Light" w:eastAsia="Times New Roman" w:hAnsi="Segoe UI Light" w:cs="Segoe UI Light"/>
                <w:highlight w:val="white"/>
              </w:rPr>
            </w:pPr>
          </w:p>
        </w:tc>
      </w:tr>
    </w:tbl>
    <w:p w14:paraId="144D7218" w14:textId="77777777" w:rsidR="009E51CD" w:rsidRPr="00534B7D" w:rsidRDefault="009E51CD" w:rsidP="009E51CD">
      <w:pPr>
        <w:spacing w:line="240" w:lineRule="auto"/>
        <w:jc w:val="both"/>
        <w:rPr>
          <w:rFonts w:ascii="Segoe UI Light" w:eastAsia="Times New Roman" w:hAnsi="Segoe UI Light" w:cs="Segoe UI Light"/>
        </w:rPr>
      </w:pPr>
    </w:p>
    <w:p w14:paraId="7A1ECC38" w14:textId="77777777" w:rsidR="0056441E" w:rsidRPr="00534B7D" w:rsidRDefault="0056441E">
      <w:pPr>
        <w:rPr>
          <w:rFonts w:ascii="Segoe UI Light" w:hAnsi="Segoe UI Light" w:cs="Segoe UI Light"/>
        </w:rPr>
      </w:pPr>
    </w:p>
    <w:sectPr w:rsidR="0056441E" w:rsidRPr="00534B7D" w:rsidSect="00534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851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4017" w14:textId="77777777" w:rsidR="000E15BB" w:rsidRDefault="000E15BB" w:rsidP="007316F3">
      <w:pPr>
        <w:spacing w:line="240" w:lineRule="auto"/>
      </w:pPr>
      <w:r>
        <w:separator/>
      </w:r>
    </w:p>
  </w:endnote>
  <w:endnote w:type="continuationSeparator" w:id="0">
    <w:p w14:paraId="756C3007" w14:textId="77777777" w:rsidR="000E15BB" w:rsidRDefault="000E15BB" w:rsidP="00731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1DA5" w14:textId="77777777" w:rsidR="007316F3" w:rsidRDefault="00731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9E37" w14:textId="77777777" w:rsidR="007316F3" w:rsidRDefault="007316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88DE" w14:textId="77777777" w:rsidR="007316F3" w:rsidRDefault="007316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6F92" w14:textId="77777777" w:rsidR="000E15BB" w:rsidRDefault="000E15BB" w:rsidP="007316F3">
      <w:pPr>
        <w:spacing w:line="240" w:lineRule="auto"/>
      </w:pPr>
      <w:r>
        <w:separator/>
      </w:r>
    </w:p>
  </w:footnote>
  <w:footnote w:type="continuationSeparator" w:id="0">
    <w:p w14:paraId="6A1EDDE2" w14:textId="77777777" w:rsidR="000E15BB" w:rsidRDefault="000E15BB" w:rsidP="00731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54AC" w14:textId="77777777" w:rsidR="007316F3" w:rsidRDefault="007316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FBB3" w14:textId="77777777" w:rsidR="007316F3" w:rsidRDefault="007316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EF23" w14:textId="77777777" w:rsidR="007316F3" w:rsidRDefault="007316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C8"/>
    <w:multiLevelType w:val="multilevel"/>
    <w:tmpl w:val="E6A86D08"/>
    <w:lvl w:ilvl="0">
      <w:start w:val="1"/>
      <w:numFmt w:val="decimal"/>
      <w:lvlText w:val="%1."/>
      <w:lvlJc w:val="left"/>
      <w:pPr>
        <w:ind w:left="0" w:firstLine="0"/>
      </w:pPr>
      <w:rPr>
        <w:rFonts w:ascii="Segoe UI Light" w:eastAsia="Times New Roman" w:hAnsi="Segoe UI Light" w:cs="Segoe UI Light" w:hint="default"/>
        <w:b w:val="0"/>
        <w:bCs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31850B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1F652F"/>
    <w:multiLevelType w:val="multilevel"/>
    <w:tmpl w:val="0166FB50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b w:val="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egoe UI Light" w:eastAsia="Times New Roman" w:hAnsi="Segoe UI Light" w:cs="Segoe UI Light"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EF204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D03471"/>
    <w:multiLevelType w:val="multilevel"/>
    <w:tmpl w:val="FFFFFFFF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26C8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246293F"/>
    <w:multiLevelType w:val="multilevel"/>
    <w:tmpl w:val="4420D0E6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b w:val="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egoe UI Light" w:eastAsia="Times New Roman" w:hAnsi="Segoe UI Light" w:cs="Segoe UI Light"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8F6A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4D35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CA839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F1648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CD"/>
    <w:rsid w:val="000E15BB"/>
    <w:rsid w:val="00534B7D"/>
    <w:rsid w:val="0056441E"/>
    <w:rsid w:val="007316F3"/>
    <w:rsid w:val="009E51CD"/>
    <w:rsid w:val="00D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0B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1CD"/>
    <w:pPr>
      <w:spacing w:after="0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1C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1CD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7316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6F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7316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6F3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11979</Characters>
  <Application>Microsoft Office Word</Application>
  <DocSecurity>0</DocSecurity>
  <Lines>99</Lines>
  <Paragraphs>27</Paragraphs>
  <ScaleCrop>false</ScaleCrop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2021-09-09T06:59:00Z</dcterms:created>
  <dcterms:modified xsi:type="dcterms:W3CDTF">2021-11-05T08:23:00Z</dcterms:modified>
</cp:coreProperties>
</file>