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7F6DBE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dn.2</w:t>
      </w:r>
      <w:r w:rsidR="002148F5">
        <w:rPr>
          <w:rFonts w:ascii="Arial" w:hAnsi="Arial" w:cs="Arial"/>
          <w:sz w:val="20"/>
          <w:szCs w:val="20"/>
        </w:rPr>
        <w:t>4</w:t>
      </w:r>
      <w:r w:rsidR="00067AE2">
        <w:rPr>
          <w:rFonts w:ascii="Arial" w:hAnsi="Arial" w:cs="Arial"/>
          <w:sz w:val="20"/>
          <w:szCs w:val="20"/>
        </w:rPr>
        <w:t>.0</w:t>
      </w:r>
      <w:r w:rsidR="002148F5">
        <w:rPr>
          <w:rFonts w:ascii="Arial" w:hAnsi="Arial" w:cs="Arial"/>
          <w:sz w:val="20"/>
          <w:szCs w:val="20"/>
        </w:rPr>
        <w:t>7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9F5F0C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</w:t>
      </w:r>
      <w:r w:rsidR="002148F5">
        <w:rPr>
          <w:rFonts w:ascii="Arial" w:hAnsi="Arial" w:cs="Arial"/>
          <w:bCs/>
          <w:sz w:val="20"/>
          <w:szCs w:val="20"/>
          <w:lang w:eastAsia="pl-PL"/>
        </w:rPr>
        <w:t>1</w:t>
      </w:r>
      <w:r w:rsidR="007F6DBE">
        <w:rPr>
          <w:rFonts w:ascii="Arial" w:hAnsi="Arial" w:cs="Arial"/>
          <w:bCs/>
          <w:sz w:val="20"/>
          <w:szCs w:val="20"/>
          <w:lang w:eastAsia="pl-PL"/>
        </w:rPr>
        <w:t>3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2148F5">
        <w:rPr>
          <w:rFonts w:ascii="Arial" w:hAnsi="Arial" w:cs="Arial"/>
          <w:bCs/>
          <w:sz w:val="20"/>
          <w:szCs w:val="20"/>
          <w:lang w:eastAsia="pl-PL"/>
        </w:rPr>
        <w:t>1</w:t>
      </w:r>
      <w:r>
        <w:rPr>
          <w:rFonts w:ascii="Arial" w:hAnsi="Arial" w:cs="Arial"/>
          <w:bCs/>
          <w:sz w:val="20"/>
          <w:szCs w:val="20"/>
          <w:lang w:eastAsia="pl-PL"/>
        </w:rPr>
        <w:t>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4C2E" w:rsidRDefault="00724C2E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4C2E" w:rsidRDefault="00724C2E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2148F5">
        <w:rPr>
          <w:sz w:val="20"/>
          <w:szCs w:val="20"/>
        </w:rPr>
        <w:t>Sprzątania</w:t>
      </w:r>
      <w:r w:rsidR="002148F5" w:rsidRPr="0089024E">
        <w:rPr>
          <w:sz w:val="20"/>
          <w:szCs w:val="20"/>
        </w:rPr>
        <w:t xml:space="preserve"> obiektów Akademii Nauk Stosowanych im. Stanisław Staszica w Pile przy ul. Podchorążych 10 i ul. Żeromskiego 14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7F6DBE" w:rsidRDefault="007F6DBE" w:rsidP="007F6D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sz w:val="20"/>
          <w:szCs w:val="20"/>
          <w:lang w:eastAsia="pl-PL"/>
        </w:rPr>
        <w:t>1) Czy do tej pory takie powierzchnie były sprzątane?</w:t>
      </w:r>
    </w:p>
    <w:p w:rsid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  <w:r w:rsidRPr="007F6DBE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sz w:val="20"/>
          <w:szCs w:val="20"/>
          <w:lang w:eastAsia="pl-PL"/>
        </w:rPr>
        <w:br/>
        <w:t>2) Ile osób zapewniało porządek w ANS przy ul. Podchorążych?</w:t>
      </w:r>
    </w:p>
    <w:p w:rsid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  <w:r w:rsidRPr="007F6DBE">
        <w:rPr>
          <w:rFonts w:ascii="Arial" w:eastAsia="Times New Roman" w:hAnsi="Arial" w:cs="Arial"/>
          <w:sz w:val="20"/>
          <w:szCs w:val="20"/>
          <w:lang w:eastAsia="pl-PL"/>
        </w:rPr>
        <w:t xml:space="preserve"> Z tego co wiadomo zamawiającemu to 10 osób.</w:t>
      </w: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sz w:val="20"/>
          <w:szCs w:val="20"/>
          <w:lang w:eastAsia="pl-PL"/>
        </w:rPr>
        <w:br/>
        <w:t>3) Ile etatów było potrzebnych, żeby dwuzmianowo obsłużyć sprzątanie w roku?</w:t>
      </w:r>
    </w:p>
    <w:p w:rsid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  <w:r w:rsidRPr="007F6DBE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posiada takich danych. </w:t>
      </w: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DBE">
        <w:rPr>
          <w:rFonts w:ascii="Arial" w:eastAsia="Times New Roman" w:hAnsi="Arial" w:cs="Arial"/>
          <w:sz w:val="20"/>
          <w:szCs w:val="20"/>
          <w:lang w:eastAsia="pl-PL"/>
        </w:rPr>
        <w:br/>
        <w:t>4) Jaka firma do tej pory sprząta w ANS i jaka jest kwota kontraktu?</w:t>
      </w:r>
    </w:p>
    <w:p w:rsid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F6DB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  <w:r w:rsidRPr="007F6D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6DBE">
        <w:rPr>
          <w:rFonts w:ascii="Arial" w:hAnsi="Arial" w:cs="Arial"/>
          <w:bCs/>
          <w:sz w:val="20"/>
          <w:szCs w:val="20"/>
        </w:rPr>
        <w:t xml:space="preserve">DGP </w:t>
      </w:r>
      <w:proofErr w:type="spellStart"/>
      <w:r w:rsidRPr="007F6DBE">
        <w:rPr>
          <w:rFonts w:ascii="Arial" w:hAnsi="Arial" w:cs="Arial"/>
          <w:bCs/>
          <w:sz w:val="20"/>
          <w:szCs w:val="20"/>
        </w:rPr>
        <w:t>Clean</w:t>
      </w:r>
      <w:proofErr w:type="spellEnd"/>
      <w:r w:rsidRPr="007F6DBE">
        <w:rPr>
          <w:rFonts w:ascii="Arial" w:hAnsi="Arial" w:cs="Arial"/>
          <w:bCs/>
          <w:sz w:val="20"/>
          <w:szCs w:val="20"/>
        </w:rPr>
        <w:t xml:space="preserve"> Partner Sp. z o. o Warszawa</w:t>
      </w:r>
      <w:r w:rsidR="001775F7">
        <w:rPr>
          <w:rFonts w:ascii="Arial" w:hAnsi="Arial" w:cs="Arial"/>
          <w:bCs/>
          <w:sz w:val="20"/>
          <w:szCs w:val="20"/>
        </w:rPr>
        <w:t>, kwota kontraktu 791.898,25 zł</w:t>
      </w:r>
      <w:bookmarkStart w:id="1" w:name="_GoBack"/>
      <w:bookmarkEnd w:id="1"/>
    </w:p>
    <w:p w:rsidR="007F6DBE" w:rsidRPr="007F6DBE" w:rsidRDefault="007F6DBE" w:rsidP="007F6D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DBE" w:rsidRPr="007F6DBE" w:rsidRDefault="007F6DBE" w:rsidP="007F6DBE">
      <w:pPr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>5) Zamawiający w SIWZ dopuszcza możliwość udziału w postepowaniu podmiotów działających w ramach konsorcjum. Zważywszy na fakt, iż: a) obserwowaną na rynku praktyką jest sytuacja, w której o udzielenie zamówienia ubiegają się podmioty będące spółkami kapitałowymi, działające w ramach konsorcjum, a następnie – już na etapie świadczenia usługi - faktury wystawiane są przez kilkanaście spółek cywilnych założonych przez konsorcjantów, b) powyższe może budzić wątpliwości co do zgodności takiej praktyki z przepisami ustawy z dnia 11.09.2019 r.. – Prawo zamówień publicznych oraz ustawy z dnia 11.03.2004 r. o podatku od towarów i usług (a zwłaszcza z art. 113 ust. 1 i 9 dotyczącym zwolnień podmiotowych, art. 106a – 106q dotyczącym zasad wystawiania faktur oraz art. 88 dotyczącym braku prawa do odliczenia VAT) co potwierdzają kontrole podatkowe prowadzone w firmach świadczących usługi outsourcingowe, Zwracamy się zwracamy się z uprzejmą prośbą o udzielenie informacji, czy Zamawiający po udzieleniu zamówienia dopuszcza możliwość wystawiania faktur przez inny podmiot (de facto: przez innego podatnika VAT), niż ubiegający się o udzielenie zamówienia członkowie konsorcjum.</w:t>
      </w:r>
    </w:p>
    <w:p w:rsidR="007F6DBE" w:rsidRPr="007F6DBE" w:rsidRDefault="007F6DBE" w:rsidP="007F6DBE">
      <w:pPr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7F6DBE">
        <w:rPr>
          <w:rFonts w:ascii="Arial" w:hAnsi="Arial" w:cs="Arial"/>
          <w:sz w:val="20"/>
          <w:szCs w:val="20"/>
        </w:rPr>
        <w:t xml:space="preserve"> Informacja taka została zamieszczona w SWZ strona 9 linia 6 i 7.</w:t>
      </w:r>
    </w:p>
    <w:p w:rsidR="007F6DBE" w:rsidRPr="007F6DBE" w:rsidRDefault="007F6DBE" w:rsidP="007F6DBE">
      <w:pPr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 xml:space="preserve">6) Zwracamy się z prośbą o modyfikację wzoru umowy, poprzez zmniejszenie wygórowanych kar umownych o 50%. 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Wielokrotnie wskazywała na to Krajowa Izba Odwoławcza, m.in. w wyroku z dnia 5 marca 2014 r., sygn. akt KIO 283/14.Zamawiający próbuje wykorzystać swoją pozycję dominującą w przetargu i wbrew zasadom współżycia społecznego, wprowadzić do umowy rażąco wygórowaną karę umowną, która z uwagi na swą konstrukcję, może mieć </w:t>
      </w:r>
      <w:r w:rsidRPr="007F6DBE">
        <w:rPr>
          <w:rFonts w:ascii="Arial" w:hAnsi="Arial" w:cs="Arial"/>
          <w:sz w:val="20"/>
          <w:szCs w:val="20"/>
        </w:rPr>
        <w:lastRenderedPageBreak/>
        <w:t>zastosowanie zarówno w przypadku drobnego uchybienia, nieskutkującego powstaniem jakiejkolwiek szkody po stronie Zamawiającego, jak i w przypadku niewykonania zobowiązania w znacznej części. Kara umowna winna zostać opisana w sposób zróżnicowany, w zależności od rangi, skutków i okresu trwania uchybienia, jak i wpływu uchybień na funkcjonowanie Zamawiającego. Nie można również zapominać, że podstawową funkcją kary umownej jest naprawienie szkody (zryczałtowane odszkodowanie), a zatem stawka kary umownej nie powinna być ustalona abstrakcyjnie, lecz z uwzględnieniem przewidywanej szkody, jaka może powstać po stronie Zamawiającego. Jednakże postanowienie projektu umowy nie zostało oparte na powyższych założeniach, stąd wniosek o jego zmianę. Zaproponowane przez wykonawcę zmiany poprzez obniżenie wysokości kar umownych, zróżnicowanie ich wysokości w stosunku o rangi, skutku i okresu trwania uchybienia i jego wpływu na funkcjonowanie zamawiającego ma z jednej strony zapewnić, iż w dalszym ciągu kary umowne będą spełniały funkcję represyjną, z drugiej zaś, że zaczną spełniać funkcję odszkodowawczą, a nie „zarobkową”.</w:t>
      </w:r>
    </w:p>
    <w:p w:rsidR="007F6DBE" w:rsidRPr="007F6DBE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7F6DBE">
        <w:rPr>
          <w:rFonts w:ascii="Arial" w:hAnsi="Arial" w:cs="Arial"/>
          <w:sz w:val="20"/>
          <w:szCs w:val="20"/>
        </w:rPr>
        <w:t xml:space="preserve"> Zamawiający nie zmodyfikuje postanowień umownych w zakresie kar.</w:t>
      </w:r>
    </w:p>
    <w:p w:rsidR="0050296C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 xml:space="preserve"> </w:t>
      </w:r>
    </w:p>
    <w:p w:rsidR="007F6DBE" w:rsidRPr="007F6DBE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 xml:space="preserve">7) Zamawiający określił w SIWZ wymóg zatrudnienia pracowników wykonujących czynności porządkowe lub czynności sprzątania na umowę o pracę. Wnosimy o wyrażenie zgody na zatrudnienie pracowników na umowę zlecenie wyłącznie na zastępstwa </w:t>
      </w:r>
      <w:proofErr w:type="spellStart"/>
      <w:r w:rsidRPr="007F6DBE">
        <w:rPr>
          <w:rFonts w:ascii="Arial" w:hAnsi="Arial" w:cs="Arial"/>
          <w:sz w:val="20"/>
          <w:szCs w:val="20"/>
        </w:rPr>
        <w:t>urlopowochorobowe</w:t>
      </w:r>
      <w:proofErr w:type="spellEnd"/>
      <w:r w:rsidRPr="007F6DBE">
        <w:rPr>
          <w:rFonts w:ascii="Arial" w:hAnsi="Arial" w:cs="Arial"/>
          <w:sz w:val="20"/>
          <w:szCs w:val="20"/>
        </w:rPr>
        <w:t>. 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wymaga chociażby dostarczenia badań lekarskich, co w sytuacjach nagłych jest nierealne i wymaga dodatkowego czasu. W związku z powyższym wnosimy jak na wstępie.</w:t>
      </w:r>
    </w:p>
    <w:p w:rsidR="0050296C" w:rsidRDefault="0050296C" w:rsidP="0050296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F6DBE" w:rsidRPr="007F6DBE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7F6DBE">
        <w:rPr>
          <w:rFonts w:ascii="Arial" w:hAnsi="Arial" w:cs="Arial"/>
          <w:sz w:val="20"/>
          <w:szCs w:val="20"/>
        </w:rPr>
        <w:t xml:space="preserve"> O sytuacji zatrudnienia mowa jest w SWZ na str. 5 ostatnia linijka oraz na stronie 6 pierwsza linijka, a także na stronie 8 tekst po punkcie 5 linijka 4,5.</w:t>
      </w:r>
    </w:p>
    <w:p w:rsidR="0050296C" w:rsidRDefault="0050296C" w:rsidP="005029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DBE" w:rsidRPr="007F6DBE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 xml:space="preserve">8) W związku z brakiem w treści SIWZ postanowień odpowiadających treści art. 436 pkt. 4, wnioskujemy o wprowadzenie do treści SIWZ postanowień odpowiadających treści art. 436 pkt. 4, </w:t>
      </w:r>
      <w:proofErr w:type="spellStart"/>
      <w:r w:rsidRPr="007F6DBE">
        <w:rPr>
          <w:rFonts w:ascii="Arial" w:hAnsi="Arial" w:cs="Arial"/>
          <w:sz w:val="20"/>
          <w:szCs w:val="20"/>
        </w:rPr>
        <w:t>Pzp</w:t>
      </w:r>
      <w:proofErr w:type="spellEnd"/>
      <w:r w:rsidRPr="007F6DBE">
        <w:rPr>
          <w:rFonts w:ascii="Arial" w:hAnsi="Arial" w:cs="Arial"/>
          <w:sz w:val="20"/>
          <w:szCs w:val="20"/>
        </w:rPr>
        <w:t xml:space="preserve"> oraz zgodnie z brzmieniem art. 135 ustawy z dnia 4 października 2018 r. o pracowniczych planach kapitałowych (Dz.U. z 2018 r. poz. 2215) postanowień odnoszących się do procedury wprowadzania przedmiotowych zmian w łączącej strony umowie tj. postanowień w brzmieniu: Niniejsza umowa ulegnie zmianie w zakresie należnego wykonawcy wynagrodzenia, w przypadku zmiany: a. stawki podatku od towarów i usług, b. wysokości minimalnego wynagrodzenia za pracę albo wysokości minimalnej stawki godzinowej, ustalonych na podstawie przepisów ustawy z dnia 10 października 2002 r. o minimalnym wynagrodzeniu za pracę,. c. zasad podlegania ubezpieczeniom społecznym lub ubezpieczeniu zdrowotnemu lub wysokości stawki składki na ubezpieczenia społeczne lub zdrowotne, d. zasad gromadzenia i wysokości wpłat do pracowniczych planów kapitałowych, o których mowa w ustawie z dnia 4 października 2018 r. o pracowniczych planach kapitałowych, - jeżeli zmiany te będą miały wpływ na koszty wykonania zamówienia przez wykonawcę. Każda ze stron umowy, w przypadku zaistnienia zdarzeń o jakich mowa w art. 436 pkt. 4, ustawy </w:t>
      </w:r>
      <w:proofErr w:type="spellStart"/>
      <w:r w:rsidRPr="007F6DBE">
        <w:rPr>
          <w:rFonts w:ascii="Arial" w:hAnsi="Arial" w:cs="Arial"/>
          <w:sz w:val="20"/>
          <w:szCs w:val="20"/>
        </w:rPr>
        <w:t>Pzp</w:t>
      </w:r>
      <w:proofErr w:type="spellEnd"/>
      <w:r w:rsidRPr="007F6DBE">
        <w:rPr>
          <w:rFonts w:ascii="Arial" w:hAnsi="Arial" w:cs="Arial"/>
          <w:sz w:val="20"/>
          <w:szCs w:val="20"/>
        </w:rPr>
        <w:t xml:space="preserve"> w terminie 3 miesięcy od dnia opublikowana przepisów będących podstawą zmiany, może zwrócić się do drugiej strony z pisemnym wnioskiem o przeprowadzenie negocjacji dotyczących zawarcia porozumienia w sprawie odpowiedniej zmiany wynagrodzenia. W przypadku zaistnienia zdarzeń o jakich mowa w art. 436 pkt. 4, ustawy </w:t>
      </w:r>
      <w:proofErr w:type="spellStart"/>
      <w:r w:rsidRPr="007F6DBE">
        <w:rPr>
          <w:rFonts w:ascii="Arial" w:hAnsi="Arial" w:cs="Arial"/>
          <w:sz w:val="20"/>
          <w:szCs w:val="20"/>
        </w:rPr>
        <w:t>Pzp</w:t>
      </w:r>
      <w:proofErr w:type="spellEnd"/>
      <w:r w:rsidRPr="007F6DBE">
        <w:rPr>
          <w:rFonts w:ascii="Arial" w:hAnsi="Arial" w:cs="Arial"/>
          <w:sz w:val="20"/>
          <w:szCs w:val="20"/>
        </w:rPr>
        <w:t xml:space="preserve"> każda ze stron może, po dokonaniu wpłat do pracowniczych planów kapitałowych za pierwszy miesiąc rozliczeniowy, zwrócić się do drugiej strony z pisemnym wnioskiem o przeprowadzenie negocjacji dotyczących zawarcia porozumienia w sprawie odpowiedniej zmiany wynagrodzenia. Przez odpowiednią zmianę wynagrodzenia, o której mowa w ust. 2, należy rozumieć: a) zmianę stawki podatku od towarów i usług, b) sumę wzrostu kosztów wykonawcy zamówienia publicznego wynikających z podwyższenia dotychczasowej kwoty minimalnego wynagrodzenia, przysługującego odpowiednio osobom biorącym udział w realizacji części pozostałej do wykonania umowy w sprawie zamówienia, c) sumę wzrostu kosztów wykonawcy zamówienia publicznego wynikających z podwyższenia dotychczasowej kwoty minimalnej stawki godzinowej wynagrodzenia, przysługującego odpowiednio osobom biorącym udział w realizacji części pozostałej do wykonania umowy w sprawie zamówienia, d) sumę wzrostu kosztów wykonawcy zamówienia publicznego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wynikających z zmiany zasad podlegania ubezpieczeniom społecznym lub ubezpieczeniom zdrowotnym lub wysokości stawki na </w:t>
      </w:r>
      <w:r w:rsidRPr="007F6DBE">
        <w:rPr>
          <w:rFonts w:ascii="Arial" w:hAnsi="Arial" w:cs="Arial"/>
          <w:sz w:val="20"/>
          <w:szCs w:val="20"/>
        </w:rPr>
        <w:lastRenderedPageBreak/>
        <w:t xml:space="preserve">ubezpieczenia społeczne lub zdrowotne przysługującego odpowiednio biorącym udział w realizacji części zamówienia pozostałej do wykonania, przy założeniu braku zmiany wynagrodzenia neto tych osób, e) sumę wzrostu kosztów wykonawcy zamówienia publicznego z tytułu zatrudnienia osób na podstawie umowy o pracę lub innej umowy cywilnoprawnej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cywilnoprawnej, zwartej przez Wykonawcę z osobą fizyczna nieprowadzącą działalności gospodarczej, wynikających z zmiany zasad gromadzenia i wysokości wpłat do pracowniczych planów kapitałowych, o których mowa w ustawie z dnia 4 października 2018 r. o pracowniczych planach kapitałowych, przysługującego odpowiednio biorącym udział w realizacji części zamówienia pozostałej do wykonania, przy założeniu braku zmiany wynagrodzenia neto tych osób. Zmiana wynagrodzenia wykonawcy o jakiej mowa w ustępie 1 -3 niniejszego paragrafu dokonuje się w zakresie wynagrodzenia należnego wykonawcy, poczynając od dnia wejścia w życie przepisów prawa będących podstawą zmiany: a) wysokości podatku od towarów i usług, b) wysokości kwoty minimalnego wynagrodzenia, c) wysokości kwoty minimalnej stawki godzinowej wynagrodzenia, d) zasad podlegania ubezpieczeniom społecznym lub ubezpieczeniom zdrowotnym, e) wysokości stawki na ubezpieczenia społeczne lub zdrowotne, f) zasad gromadzenia i wysokości wpłat do pracowniczych planów kapitałowych, o których mowa w ustawie z dnia 4 października 2018 r. o pracowniczych planach kapitałowych. W przypadku zmiany, o której mowa w ustępie 4 lit „a” niniejszego paragrafu, wartość netto wynagrodzenia Wykonawcy nie zmieni się, a określona w umowie (aneksie) wartość brutto wynagrodzenia zostanie wyliczona na podstawie nowych przepisów. W przypadku zmiany, o której mowa w ustępie 4 lit „b-f” niniejszego paragrafu Wykonawca przedstawia: a) zamawiającemu kalkulację wzrostu kosztów wyliczenia odpowiedniej zmiany wynagrodzenia, b) na wniosek zamawiającego, na potwierdzenie kalkulacji o której mowa w niniejszym punkcie lit. „a”, aktualne umowy o pracę lub umowy cywilnoprawne zawarte z osobami biorącymi udział w realizacji zamówienia, c) na wniosek zamawiającego skierowany nie wcześniej niż w terminie 30 dni od daty wejścia w życie przepisów będących podstawą wprowadzenia zmiany o jakiej mowa w niniejszym punkcie lit. „a”, odpowiednio umowy o pracę/ aneksy do umowy o pracę bądź umowy cywilnoprawne/ aneksy do umów cywilnoprawnych - potwierdzające odpowiednią zmianę wynagrodzenia. </w:t>
      </w:r>
      <w:proofErr w:type="spellStart"/>
      <w:r w:rsidRPr="007F6DBE">
        <w:rPr>
          <w:rFonts w:ascii="Arial" w:hAnsi="Arial" w:cs="Arial"/>
          <w:sz w:val="20"/>
          <w:szCs w:val="20"/>
        </w:rPr>
        <w:t>Niezawarcie</w:t>
      </w:r>
      <w:proofErr w:type="spellEnd"/>
      <w:r w:rsidRPr="007F6DBE">
        <w:rPr>
          <w:rFonts w:ascii="Arial" w:hAnsi="Arial" w:cs="Arial"/>
          <w:sz w:val="20"/>
          <w:szCs w:val="20"/>
        </w:rPr>
        <w:t xml:space="preserve"> w terminie nie dłuższym niż miesiąc od dnia złożenia wniosku, o którym mowa w ust. 2, porozumienia w sprawie odpowiedniej zmiany wynagrodzenia, uprawnia każdą ze stron do rozwiązania umowy z zachowaniem dwumiesięcznego okresu wypowiedzenia. Rozwiązanie umowy nie stanowi nienależytego wykonania lub niewykonania umowy. Oświadczenie o rozwiązaniu umowy z zachowaniem dwumiesięcznego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2, do drugiej strony. Zmiany o których mowa wymagają zawarcia aneksu/ porozumienia do umowy o zamówienie publiczne.” Uzasadnienie W dniu 28 listopada 2018 r. w Dzienniku Ustaw została opublikowana ustawa z dnia 4 października 2018 r. o pracowniczych planach kapitałowych (Dz. U. z 2018 poz. 2215, dalej ustawa o PPK). Zgodnie z treścią art. 120 przywołanej powyżej ustawy, na jej mocy ulega zmianie treść ustawy z dnia 29 stycznia 2004 r. prawo zamówień publicznych ( </w:t>
      </w:r>
      <w:proofErr w:type="spellStart"/>
      <w:r w:rsidRPr="007F6DBE">
        <w:rPr>
          <w:rFonts w:ascii="Arial" w:hAnsi="Arial" w:cs="Arial"/>
          <w:sz w:val="20"/>
          <w:szCs w:val="20"/>
        </w:rPr>
        <w:t>t.j</w:t>
      </w:r>
      <w:proofErr w:type="spellEnd"/>
      <w:r w:rsidRPr="007F6DBE">
        <w:rPr>
          <w:rFonts w:ascii="Arial" w:hAnsi="Arial" w:cs="Arial"/>
          <w:sz w:val="20"/>
          <w:szCs w:val="20"/>
        </w:rPr>
        <w:t xml:space="preserve">. Dz.U. z 2018 poz. 1986 z późn.zm.) poprzez wprowadzenie następujących zmian „w art. 142 w ust. 5 po pkt 3 dodaje się przecinek oraz pkt 4 w brzmieniu: „4) zasad gromadzenia i wysokości wpłat do pracowniczych planów kapitałowych, o których mowa w ustawie z dnia 4 października 2018 r. o pracowniczych planach kapitałowych”. Przeniesienie do treści wzoru umowy treści art. 436 pkt. 4, </w:t>
      </w:r>
      <w:proofErr w:type="spellStart"/>
      <w:r w:rsidRPr="007F6DBE">
        <w:rPr>
          <w:rFonts w:ascii="Arial" w:hAnsi="Arial" w:cs="Arial"/>
          <w:sz w:val="20"/>
          <w:szCs w:val="20"/>
        </w:rPr>
        <w:t>Pzp</w:t>
      </w:r>
      <w:proofErr w:type="spellEnd"/>
      <w:r w:rsidRPr="007F6DBE">
        <w:rPr>
          <w:rFonts w:ascii="Arial" w:hAnsi="Arial" w:cs="Arial"/>
          <w:sz w:val="20"/>
          <w:szCs w:val="20"/>
        </w:rPr>
        <w:t xml:space="preserve"> nie można uznać za wystarczające. Zgodnie z brzmieniem art. 135 ustawy o PPK uregulowane zostały również aspekt procedury występowania o zamianę wysokości wynagrodzenia wykonawcy. Pozostawia bowiem szereg problemów praktycznych odnoszących się do rzeczywistej możliwości skorzystania przez Wykonawcę z przywołanego powyżej uregulowania. Na Zamawiającym ciąży obowiązek jasnego, precyzyjnego wyczerpującego określenia SIWZ, którego jednym z elementów jest wzór umowy. Mając powyższe na uwadze zasadnym jest uzupełnienie postanowień wzoru umowy o propozycje zgłoszone przez Wykonawcę a odnoszące się do trybu wprowadzenia zmiany wynagrodzenia w momencie jej zaistnienia.</w:t>
      </w:r>
    </w:p>
    <w:p w:rsidR="0050296C" w:rsidRDefault="0050296C" w:rsidP="0050296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F6DBE" w:rsidRPr="007F6DBE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7F6DBE">
        <w:rPr>
          <w:rFonts w:ascii="Arial" w:hAnsi="Arial" w:cs="Arial"/>
          <w:sz w:val="20"/>
          <w:szCs w:val="20"/>
        </w:rPr>
        <w:t xml:space="preserve"> Powyższe zapisy zawarto w § 11 projektu umowy – załącznik nr 6.</w:t>
      </w:r>
    </w:p>
    <w:p w:rsidR="0050296C" w:rsidRDefault="0050296C" w:rsidP="005029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DBE" w:rsidRPr="007F6DBE" w:rsidRDefault="007F6DBE" w:rsidP="005029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 xml:space="preserve">9) W związku z brakiem w treści ogłoszenia o zamówieniu/SIWZ postanowień odnoszących się do sposobu oceny spełniania warunków udziału w postępowaniu przez Wykonawców ubiegających się wspólnie o udzielenie zamówienia publicznego, wnioskujemy o potwierdzenie, iż w przypadku Wykonawców wspólnie ubiegających się o udzielenie zamówienia, warunek dotyczący zdolności technicznej lub zawodowej może być spełniony łącznie przez Wykonawców występujących wspólnie”. </w:t>
      </w:r>
      <w:r w:rsidRPr="007F6DBE">
        <w:rPr>
          <w:rFonts w:ascii="Arial" w:hAnsi="Arial" w:cs="Arial"/>
          <w:sz w:val="20"/>
          <w:szCs w:val="20"/>
        </w:rPr>
        <w:lastRenderedPageBreak/>
        <w:t>Uzasadnienie: Na Zamawiającym ciąży obowiązek jasnego, precyzyjnego, wyczerpującego określenia SIWZ, którego jednym z elementów stanowi określenie warunków udziału w postępowaniu oraz sposobu spełniania tych warunków przez wykonawców wspólnie ubiegających się o udzielenie zamówienia. Mając powyższe na uwadze zasadnym jest uzupełnienie postanowień SIWZ umowy o propozycje zgłoszone przez Wykonawcę a odnoszące się do precyzyjnego określenia jak określone przez Zamawiającego warunku udziału w postępowaniu mają spełniać wykonawcy o których mowa w art. 117 ust. 4 ustawy z dnia 11 września 2019 r. Prawo zamówień publicznych.</w:t>
      </w:r>
    </w:p>
    <w:p w:rsidR="007F6DBE" w:rsidRPr="007F6DBE" w:rsidRDefault="007F6DBE" w:rsidP="007F6DBE">
      <w:pPr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7F6DBE">
        <w:rPr>
          <w:rFonts w:ascii="Arial" w:hAnsi="Arial" w:cs="Arial"/>
          <w:sz w:val="20"/>
          <w:szCs w:val="20"/>
        </w:rPr>
        <w:t xml:space="preserve"> Warunki udziału w postępowaniu przez podmioty ubiegające się wspólnie zostały określone w SWZ w rozdziale XI pkt. 2 ostatnie zdanie.</w:t>
      </w:r>
    </w:p>
    <w:p w:rsidR="007F6DBE" w:rsidRPr="007F6DBE" w:rsidRDefault="007F6DBE" w:rsidP="007F6DBE">
      <w:pPr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sz w:val="20"/>
          <w:szCs w:val="20"/>
        </w:rPr>
        <w:t>10) Prosimy o potwierdzenie, iż Zamawiający zwaloryzuje Wykonawcy wyłonionemu w toku postępowania minimalne wynagrodzenie w związku z zmianą minimalnego wynagrodzenia za pracę obowiązującą od 01.01.2024. W przypadku pozytywnej oceny prosimy o dodanie stosownych zapisów do umowy.</w:t>
      </w:r>
    </w:p>
    <w:p w:rsidR="007F6DBE" w:rsidRPr="007F6DBE" w:rsidRDefault="007F6DBE" w:rsidP="007F6DBE">
      <w:pPr>
        <w:jc w:val="both"/>
        <w:rPr>
          <w:rFonts w:ascii="Arial" w:hAnsi="Arial" w:cs="Arial"/>
          <w:sz w:val="20"/>
          <w:szCs w:val="20"/>
        </w:rPr>
      </w:pPr>
      <w:r w:rsidRPr="007F6DBE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7F6DBE">
        <w:rPr>
          <w:rFonts w:ascii="Arial" w:hAnsi="Arial" w:cs="Arial"/>
          <w:sz w:val="20"/>
          <w:szCs w:val="20"/>
        </w:rPr>
        <w:t xml:space="preserve"> Informacja taka została zamieszczona w SWZ strona 9 linia 8,9.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FE05DD"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2CE3"/>
    <w:multiLevelType w:val="hybridMultilevel"/>
    <w:tmpl w:val="9A36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A4B"/>
    <w:multiLevelType w:val="hybridMultilevel"/>
    <w:tmpl w:val="FDE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1775F7"/>
    <w:rsid w:val="002148F5"/>
    <w:rsid w:val="00252FEF"/>
    <w:rsid w:val="00260D50"/>
    <w:rsid w:val="002C053D"/>
    <w:rsid w:val="002C6DCC"/>
    <w:rsid w:val="00365297"/>
    <w:rsid w:val="00443E7C"/>
    <w:rsid w:val="00466463"/>
    <w:rsid w:val="00474C7F"/>
    <w:rsid w:val="004926E7"/>
    <w:rsid w:val="004B1CF4"/>
    <w:rsid w:val="004B67FF"/>
    <w:rsid w:val="0050296C"/>
    <w:rsid w:val="005035C9"/>
    <w:rsid w:val="005B5651"/>
    <w:rsid w:val="006F0F01"/>
    <w:rsid w:val="00724C2E"/>
    <w:rsid w:val="007507ED"/>
    <w:rsid w:val="007521D3"/>
    <w:rsid w:val="0076381A"/>
    <w:rsid w:val="007F0970"/>
    <w:rsid w:val="007F2FB4"/>
    <w:rsid w:val="007F6DBE"/>
    <w:rsid w:val="00815836"/>
    <w:rsid w:val="00887F4D"/>
    <w:rsid w:val="00995315"/>
    <w:rsid w:val="009D521D"/>
    <w:rsid w:val="009F5F0C"/>
    <w:rsid w:val="00A339C7"/>
    <w:rsid w:val="00AA369C"/>
    <w:rsid w:val="00B47E0D"/>
    <w:rsid w:val="00B62807"/>
    <w:rsid w:val="00BB4E07"/>
    <w:rsid w:val="00BC65D3"/>
    <w:rsid w:val="00CD6CB2"/>
    <w:rsid w:val="00DC5D2C"/>
    <w:rsid w:val="00DD184E"/>
    <w:rsid w:val="00DD3607"/>
    <w:rsid w:val="00E243EF"/>
    <w:rsid w:val="00E45078"/>
    <w:rsid w:val="00F52F04"/>
    <w:rsid w:val="00F75558"/>
    <w:rsid w:val="00FD069E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23CF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2144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42</cp:revision>
  <cp:lastPrinted>2022-05-30T10:56:00Z</cp:lastPrinted>
  <dcterms:created xsi:type="dcterms:W3CDTF">2022-05-23T09:57:00Z</dcterms:created>
  <dcterms:modified xsi:type="dcterms:W3CDTF">2023-07-24T06:57:00Z</dcterms:modified>
</cp:coreProperties>
</file>