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98BB9" w14:textId="77777777" w:rsidR="00AE6080" w:rsidRPr="00207864" w:rsidRDefault="00AE6080" w:rsidP="00AE6080">
      <w:pPr>
        <w:jc w:val="right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bookmarkStart w:id="0" w:name="_Hlk138839937"/>
      <w:r w:rsidRPr="0020786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ZAŁĄCZNIK NR 3 DO SWZ</w:t>
      </w:r>
    </w:p>
    <w:p w14:paraId="1E621D10" w14:textId="77777777" w:rsidR="00AE6080" w:rsidRPr="00207864" w:rsidRDefault="00AE6080" w:rsidP="00AE6080">
      <w:pPr>
        <w:suppressAutoHyphens/>
        <w:jc w:val="right"/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</w:pPr>
      <w:r w:rsidRPr="00207864">
        <w:rPr>
          <w:rFonts w:asciiTheme="minorHAnsi" w:hAnsiTheme="minorHAnsi" w:cstheme="minorHAnsi"/>
          <w:b/>
          <w:sz w:val="18"/>
          <w:szCs w:val="18"/>
          <w:u w:val="single"/>
          <w:lang w:eastAsia="ar-SA"/>
        </w:rPr>
        <w:t>OPIS PRZEDMIOTU ZAMÓWIENIA (OPZ)</w:t>
      </w:r>
    </w:p>
    <w:p w14:paraId="3501B505" w14:textId="77777777" w:rsidR="00AE6080" w:rsidRPr="00207864" w:rsidRDefault="00AE6080" w:rsidP="00AE608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D8A623A" w14:textId="77777777" w:rsidR="00AE6080" w:rsidRPr="00B12B44" w:rsidRDefault="00AE6080" w:rsidP="00AE6080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60E703A4" w14:textId="77777777" w:rsidR="00AE6080" w:rsidRPr="00B12B44" w:rsidRDefault="00AE6080" w:rsidP="00AE6080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12B44">
        <w:rPr>
          <w:rFonts w:asciiTheme="minorHAnsi" w:hAnsiTheme="minorHAnsi" w:cstheme="minorHAnsi"/>
          <w:b/>
          <w:sz w:val="18"/>
          <w:szCs w:val="18"/>
        </w:rPr>
        <w:t>03/TP/2025</w:t>
      </w:r>
    </w:p>
    <w:p w14:paraId="198389BD" w14:textId="77777777" w:rsidR="00AE6080" w:rsidRDefault="00AE6080" w:rsidP="00AE608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647E55C" w14:textId="77777777" w:rsidR="00AE6080" w:rsidRPr="00B12B44" w:rsidRDefault="00AE6080" w:rsidP="00AE6080">
      <w:pPr>
        <w:keepNext/>
        <w:widowControl w:val="0"/>
        <w:suppressAutoHyphens/>
        <w:outlineLvl w:val="0"/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</w:pPr>
    </w:p>
    <w:p w14:paraId="6F36E21F" w14:textId="77777777" w:rsidR="00AE6080" w:rsidRPr="004C6CE3" w:rsidRDefault="00AE6080" w:rsidP="00AE6080">
      <w:pPr>
        <w:keepNext/>
        <w:widowControl w:val="0"/>
        <w:suppressAutoHyphens/>
        <w:outlineLvl w:val="0"/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</w:pPr>
      <w:r w:rsidRPr="00B12B44"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  <w:t xml:space="preserve">Opis przedmiotu zamówienia stanowi koncepcja budowlana na podstawie której należy wykonać dokumentację projektową, będącą przedmiotem niniejszego </w:t>
      </w:r>
      <w:r w:rsidRPr="004C6CE3"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  <w:t xml:space="preserve">zamówienia. Koncepcja stanowi następujące załączniki: </w:t>
      </w:r>
    </w:p>
    <w:p w14:paraId="278DA817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</w:rPr>
      </w:pPr>
    </w:p>
    <w:p w14:paraId="00763255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</w:rPr>
        <w:t>1. BADANIA GEOLOGICZNE</w:t>
      </w:r>
    </w:p>
    <w:p w14:paraId="51758E4A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1.1. Dokumentacja badań wstępnych stanu środowiska gruntowego Tczew ul. Targowa dz. nr 52-23</w:t>
      </w:r>
    </w:p>
    <w:p w14:paraId="25E09B8E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1.2. Geotechniczne warunki posadowienia Tczew ul. Targowa dz. nr 52-23</w:t>
      </w:r>
    </w:p>
    <w:p w14:paraId="34BC6064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39CAB2F2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 xml:space="preserve">2. UZGODNIENIE LOKALIZACJI ZJAZDÓW </w:t>
      </w:r>
    </w:p>
    <w:p w14:paraId="303FC6D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2.1. SKMBT_C28025030321050</w:t>
      </w:r>
    </w:p>
    <w:p w14:paraId="19BC8A57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2.2. SKMBT_C28025030321051</w:t>
      </w:r>
    </w:p>
    <w:p w14:paraId="7113E9B8" w14:textId="77777777" w:rsidR="00AE6080" w:rsidRPr="00BC2499" w:rsidRDefault="00AE6080" w:rsidP="00AE6080">
      <w:pPr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</w:pPr>
      <w:r w:rsidRPr="00BC2499"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  <w:t>2.3. SKMBT_C28025030321060</w:t>
      </w:r>
    </w:p>
    <w:p w14:paraId="23FA27F0" w14:textId="77777777" w:rsidR="00AE6080" w:rsidRPr="00BC2499" w:rsidRDefault="00AE6080" w:rsidP="00AE6080">
      <w:pPr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</w:pPr>
      <w:r w:rsidRPr="00BC2499"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  <w:t>2.4. SKMBT_C28025030321061</w:t>
      </w:r>
    </w:p>
    <w:p w14:paraId="4EDAF1D6" w14:textId="77777777" w:rsidR="00AE6080" w:rsidRPr="00BC2499" w:rsidRDefault="00AE6080" w:rsidP="00AE6080">
      <w:pPr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</w:pPr>
      <w:r w:rsidRPr="00BC2499"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  <w:t>2.5. SKMBT_C28025030321070</w:t>
      </w:r>
    </w:p>
    <w:p w14:paraId="407C7BCE" w14:textId="77777777" w:rsidR="00AE6080" w:rsidRPr="00BC2499" w:rsidRDefault="00AE6080" w:rsidP="00AE6080">
      <w:pPr>
        <w:rPr>
          <w:rFonts w:asciiTheme="minorHAnsi" w:eastAsia="SimSun" w:hAnsiTheme="minorHAnsi" w:cstheme="minorHAnsi"/>
          <w:sz w:val="18"/>
          <w:szCs w:val="18"/>
          <w:lang w:val="en-US" w:eastAsia="hi-IN" w:bidi="hi-IN"/>
        </w:rPr>
      </w:pPr>
    </w:p>
    <w:p w14:paraId="02A6583E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 xml:space="preserve">3. WARUNKI TECHNICZNE GESTORZY </w:t>
      </w:r>
    </w:p>
    <w:p w14:paraId="42940429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3.1. GPEC</w:t>
      </w:r>
    </w:p>
    <w:p w14:paraId="4370773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3.1.1. WT_PRZYLACZENIE</w:t>
      </w:r>
    </w:p>
    <w:p w14:paraId="4C9AF736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 PSG</w:t>
      </w:r>
    </w:p>
    <w:p w14:paraId="700AB838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 ZOL - warunki przyłączenia do sieci gazowej</w:t>
      </w:r>
    </w:p>
    <w:p w14:paraId="664A21DF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3.2.1.1. OGÓLNE WARUNKI UMÓW PSG</w:t>
      </w:r>
    </w:p>
    <w:p w14:paraId="450246A5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3.2.1.2. PISMO PRZEWODNIE PSG</w:t>
      </w:r>
    </w:p>
    <w:p w14:paraId="035D1198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3.2.1.3. UMOWA PSG</w:t>
      </w:r>
    </w:p>
    <w:p w14:paraId="2478AC0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3.2.1.4. WARUNKI TECHNICZNE PSG</w:t>
      </w:r>
    </w:p>
    <w:p w14:paraId="446CE1D6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3.2.1.5. ZASADY ROZLICZEŃ ZA PRZYŁACZENIE DO SIECI DYSTRYBUCYJNEJ</w:t>
      </w:r>
    </w:p>
    <w:p w14:paraId="20209F4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3.3. TELEKOMUNIKACJA</w:t>
      </w:r>
    </w:p>
    <w:p w14:paraId="1E8BBDD7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3.3.1. ZOL - warunki przyłączeniowe Orange</w:t>
      </w:r>
    </w:p>
    <w:p w14:paraId="71FEA06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3.3.1.1. 2412270060 -TTDSILU-MM-01-WT</w:t>
      </w:r>
    </w:p>
    <w:p w14:paraId="505D155E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3.4. ZWIK</w:t>
      </w:r>
    </w:p>
    <w:p w14:paraId="1E099197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3.4.1. Warunki przyłączenia nr 3.01.2025</w:t>
      </w:r>
    </w:p>
    <w:p w14:paraId="70230A8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</w:rPr>
      </w:pPr>
    </w:p>
    <w:p w14:paraId="0B587BA6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>4. ZOL TCZEW -  WENTYLACJA, KLIMATYZACJA</w:t>
      </w:r>
    </w:p>
    <w:p w14:paraId="5C8C3A3D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 xml:space="preserve">4.1. </w:t>
      </w:r>
      <w:proofErr w:type="spellStart"/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Opis_koncepcji</w:t>
      </w:r>
      <w:proofErr w:type="spellEnd"/>
    </w:p>
    <w:p w14:paraId="0AA31313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4.2. W1</w:t>
      </w:r>
    </w:p>
    <w:p w14:paraId="2D1F7C5F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4.3. W2</w:t>
      </w:r>
    </w:p>
    <w:p w14:paraId="2BF31264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271563EA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>5. ZOL TCZEW - BRANŻA SANITARNA</w:t>
      </w:r>
    </w:p>
    <w:p w14:paraId="7AA6DCD3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5.1. KONCEPCJA INSTALACJE SANITARNE DAGIL</w:t>
      </w:r>
    </w:p>
    <w:p w14:paraId="6E727C2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5.2. PZT TCZEW DAGIL</w:t>
      </w:r>
    </w:p>
    <w:p w14:paraId="39125EA7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10C60F34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>6. ZOL TCZEW - PZT, ARCHITEKTURA</w:t>
      </w:r>
    </w:p>
    <w:p w14:paraId="1941EBE6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6.1. CZĘŚĆ OPISOWA</w:t>
      </w:r>
    </w:p>
    <w:p w14:paraId="11039E44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6.1.1. STRONA TYTUŁOWA PROJEKT KONCEPCYJNY</w:t>
      </w:r>
    </w:p>
    <w:p w14:paraId="52DB43A9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6.1.2. ZOL - OPIS KOCEPCJI CZEŚĆ BUDOWLANA, KONSTRUKCYJNA, DROGOWA</w:t>
      </w:r>
    </w:p>
    <w:p w14:paraId="40BF83A2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6.2. CZĘŚĆ RYSUNKOWA</w:t>
      </w:r>
    </w:p>
    <w:p w14:paraId="0E29C482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6.2.1. KON.1 RZUT PARTERU</w:t>
      </w:r>
    </w:p>
    <w:p w14:paraId="73645CD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6.2.2. KON.2  ELEWACJE , PRZEKRÓJ A-A</w:t>
      </w:r>
    </w:p>
    <w:p w14:paraId="6C4B2F26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6.2.3. KON.3 WIZUALIZACJE</w:t>
      </w:r>
    </w:p>
    <w:p w14:paraId="4D5B5960" w14:textId="00801F99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6.2.4. KON.PZT PROJEKT ZAGOSPODAROWANIA TERENU</w:t>
      </w:r>
    </w:p>
    <w:p w14:paraId="448090BD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133D8CD6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t>7. ZOL TCZEW BRANŻA ELEKTRYCZNA</w:t>
      </w:r>
    </w:p>
    <w:p w14:paraId="3B50AFFB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  <w:r w:rsidRPr="004C6CE3">
        <w:rPr>
          <w:rFonts w:asciiTheme="minorHAnsi" w:eastAsia="SimSun" w:hAnsiTheme="minorHAnsi" w:cstheme="minorHAnsi"/>
          <w:sz w:val="18"/>
          <w:szCs w:val="18"/>
          <w:lang w:eastAsia="hi-IN" w:bidi="hi-IN"/>
        </w:rPr>
        <w:t>7.1. ZOL Targowa - opis EL+TEL do koncepcji</w:t>
      </w:r>
    </w:p>
    <w:p w14:paraId="217BF98A" w14:textId="77777777" w:rsidR="00AE6080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5F36700A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2C20F64E" w14:textId="77777777" w:rsidR="00AE6080" w:rsidRPr="007C4E3C" w:rsidRDefault="00AE6080" w:rsidP="00AE6080">
      <w:pPr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</w:pPr>
      <w:r w:rsidRPr="007C4E3C">
        <w:rPr>
          <w:rFonts w:asciiTheme="minorHAnsi" w:eastAsia="SimSun" w:hAnsiTheme="minorHAnsi" w:cstheme="minorHAnsi"/>
          <w:b/>
          <w:bCs/>
          <w:sz w:val="18"/>
          <w:szCs w:val="18"/>
          <w:lang w:eastAsia="hi-IN" w:bidi="hi-IN"/>
        </w:rPr>
        <w:lastRenderedPageBreak/>
        <w:t>8. ZOL TCZEW CHARAKTERYSTYKA ENERGETYCZNA</w:t>
      </w:r>
    </w:p>
    <w:p w14:paraId="0795D9A5" w14:textId="77777777" w:rsidR="00AE6080" w:rsidRPr="004C6CE3" w:rsidRDefault="00AE6080" w:rsidP="00AE6080">
      <w:pPr>
        <w:rPr>
          <w:rFonts w:asciiTheme="minorHAnsi" w:eastAsia="SimSun" w:hAnsiTheme="minorHAnsi" w:cstheme="minorHAnsi"/>
          <w:sz w:val="18"/>
          <w:szCs w:val="18"/>
          <w:lang w:eastAsia="hi-IN" w:bidi="hi-IN"/>
        </w:rPr>
      </w:pPr>
    </w:p>
    <w:p w14:paraId="1ACB311C" w14:textId="77777777" w:rsidR="00AE6080" w:rsidRPr="004C6CE3" w:rsidRDefault="00AE6080" w:rsidP="00AE6080">
      <w:pPr>
        <w:keepNext/>
        <w:widowControl w:val="0"/>
        <w:suppressAutoHyphens/>
        <w:outlineLvl w:val="0"/>
        <w:rPr>
          <w:rFonts w:asciiTheme="minorHAnsi" w:eastAsia="SimSun" w:hAnsiTheme="minorHAnsi" w:cstheme="minorHAnsi"/>
          <w:bCs/>
          <w:kern w:val="2"/>
          <w:sz w:val="18"/>
          <w:szCs w:val="18"/>
          <w:lang w:eastAsia="hi-IN" w:bidi="hi-IN"/>
        </w:rPr>
      </w:pPr>
    </w:p>
    <w:p w14:paraId="0027D26C" w14:textId="77777777" w:rsidR="00AE6080" w:rsidRPr="006527C2" w:rsidRDefault="00AE6080" w:rsidP="00AE60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18"/>
          <w:szCs w:val="18"/>
          <w:lang w:eastAsia="pl-PL"/>
        </w:rPr>
      </w:pPr>
      <w:r w:rsidRPr="006527C2">
        <w:rPr>
          <w:rFonts w:asciiTheme="minorHAnsi" w:hAnsiTheme="minorHAnsi" w:cstheme="minorHAnsi"/>
          <w:noProof/>
          <w:sz w:val="18"/>
          <w:szCs w:val="18"/>
          <w:highlight w:val="green"/>
          <w:lang w:eastAsia="pl-PL"/>
        </w:rPr>
        <w:t>Wykonawca zapewni sprawowanie nadzoru autorskiego w trakcie realizacji Przedmiotu Zamówienia, również na żądanie Zamawiającego, w tym także w trakcie okresu rękojmi w wymaganym zakresie.</w:t>
      </w:r>
    </w:p>
    <w:p w14:paraId="12C02525" w14:textId="77777777" w:rsidR="00AE6080" w:rsidRPr="006527C2" w:rsidRDefault="00AE6080" w:rsidP="00AE60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18"/>
          <w:szCs w:val="18"/>
          <w:lang w:eastAsia="pl-PL"/>
        </w:rPr>
      </w:pPr>
    </w:p>
    <w:p w14:paraId="705DC0DA" w14:textId="77777777" w:rsidR="00AE6080" w:rsidRPr="006527C2" w:rsidRDefault="00AE6080" w:rsidP="00AE60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/>
          <w:sz w:val="18"/>
          <w:szCs w:val="18"/>
          <w:lang w:eastAsia="pl-PL"/>
        </w:rPr>
      </w:pPr>
      <w:r w:rsidRPr="006527C2">
        <w:rPr>
          <w:rFonts w:asciiTheme="minorHAnsi" w:hAnsiTheme="minorHAnsi" w:cstheme="minorHAnsi"/>
          <w:noProof/>
          <w:sz w:val="18"/>
          <w:szCs w:val="18"/>
          <w:highlight w:val="cyan"/>
          <w:lang w:eastAsia="pl-PL"/>
        </w:rPr>
        <w:t>Wykonawca zapewni Zamawiajacemu bez dodatkowego wynagrodzenia jednokrotną aktualizację kosztorysów inwestorskich w celu ustalenia wartości szacunkowej dla inwestycji, z wykorzystaniem dokumentacji objętej niniejszą umową, o ile zajdzie taka potrzeba. Wykonawca dokona aktualizacji kosztorysów w czasei nie dłuższym niż 7 dni kalendarzowych od zgłoszenia takiego żądania przez Zamawiajacego.</w:t>
      </w:r>
    </w:p>
    <w:p w14:paraId="57BC4D2F" w14:textId="77777777" w:rsidR="00AE6080" w:rsidRPr="006527C2" w:rsidRDefault="00AE6080" w:rsidP="00AE6080">
      <w:pPr>
        <w:keepNext/>
        <w:widowControl w:val="0"/>
        <w:suppressAutoHyphens/>
        <w:outlineLvl w:val="0"/>
        <w:rPr>
          <w:rFonts w:asciiTheme="minorHAnsi" w:eastAsia="SimSun" w:hAnsiTheme="minorHAnsi" w:cstheme="minorHAnsi"/>
          <w:bCs/>
          <w:kern w:val="2"/>
          <w:sz w:val="18"/>
          <w:szCs w:val="18"/>
          <w:lang w:eastAsia="hi-IN" w:bidi="hi-IN"/>
        </w:rPr>
      </w:pPr>
    </w:p>
    <w:p w14:paraId="6DE9D5F8" w14:textId="77777777" w:rsidR="00AE6080" w:rsidRPr="006527C2" w:rsidRDefault="00AE6080" w:rsidP="00AE6080">
      <w:pPr>
        <w:keepNext/>
        <w:widowControl w:val="0"/>
        <w:suppressAutoHyphens/>
        <w:jc w:val="center"/>
        <w:outlineLvl w:val="0"/>
        <w:rPr>
          <w:rFonts w:asciiTheme="minorHAnsi" w:eastAsia="SimSun" w:hAnsiTheme="minorHAnsi" w:cstheme="minorHAnsi"/>
          <w:bCs/>
          <w:kern w:val="2"/>
          <w:sz w:val="18"/>
          <w:szCs w:val="18"/>
          <w:lang w:eastAsia="hi-IN" w:bidi="hi-IN"/>
        </w:rPr>
      </w:pPr>
      <w:r w:rsidRPr="006527C2">
        <w:rPr>
          <w:rFonts w:asciiTheme="minorHAnsi" w:eastAsia="SimSun" w:hAnsiTheme="minorHAnsi" w:cstheme="minorHAnsi"/>
          <w:bCs/>
          <w:kern w:val="2"/>
          <w:sz w:val="18"/>
          <w:szCs w:val="18"/>
          <w:highlight w:val="yellow"/>
          <w:lang w:eastAsia="hi-IN" w:bidi="hi-IN"/>
        </w:rPr>
        <w:t>W dokumentacji technicznej, będącej przedmiotem niniejszego zamówienia Wykonawca nie może zawierać jakichkolwiek opisów z użyciem nazw własnych produktów lub ze wskazaniem nazw konkretnych producentów.</w:t>
      </w:r>
    </w:p>
    <w:p w14:paraId="5832739F" w14:textId="77777777" w:rsidR="00AE6080" w:rsidRDefault="00AE6080" w:rsidP="00AE6080">
      <w:pPr>
        <w:keepNext/>
        <w:widowControl w:val="0"/>
        <w:suppressAutoHyphens/>
        <w:jc w:val="both"/>
        <w:outlineLvl w:val="0"/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</w:pPr>
    </w:p>
    <w:p w14:paraId="228A8A8F" w14:textId="77777777" w:rsidR="00AE6080" w:rsidRDefault="00AE6080" w:rsidP="00AE6080">
      <w:pPr>
        <w:keepNext/>
        <w:widowControl w:val="0"/>
        <w:suppressAutoHyphens/>
        <w:jc w:val="both"/>
        <w:outlineLvl w:val="0"/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</w:pPr>
    </w:p>
    <w:p w14:paraId="37F243BA" w14:textId="77777777" w:rsidR="00AE6080" w:rsidRPr="00B12B44" w:rsidRDefault="00AE6080" w:rsidP="00AE6080">
      <w:pPr>
        <w:keepNext/>
        <w:widowControl w:val="0"/>
        <w:suppressAutoHyphens/>
        <w:jc w:val="both"/>
        <w:outlineLvl w:val="0"/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</w:pPr>
      <w:r w:rsidRPr="00B12B44">
        <w:rPr>
          <w:rFonts w:asciiTheme="minorHAnsi" w:eastAsia="SimSun" w:hAnsiTheme="minorHAnsi" w:cstheme="minorHAnsi"/>
          <w:b/>
          <w:kern w:val="2"/>
          <w:sz w:val="18"/>
          <w:szCs w:val="18"/>
          <w:lang w:eastAsia="hi-IN" w:bidi="hi-IN"/>
        </w:rPr>
        <w:t xml:space="preserve">Wykonawca przy realizacji przedmiotu niniejszego postępowania musi uwzględnić rekomendacje i wymagania jakie nakłada na Zamawiającego prawo europejskie, Polityka Zakupowa Państwa i Polski Ład, w szczególności należy rozważyć sporządzenie dokumentacji zgodnie z poniższymi rekomendacjami: </w:t>
      </w:r>
    </w:p>
    <w:p w14:paraId="641CFDC0" w14:textId="77777777" w:rsidR="00AE6080" w:rsidRPr="00B12B44" w:rsidRDefault="00AE6080" w:rsidP="00AE6080">
      <w:pPr>
        <w:ind w:right="-142"/>
        <w:contextualSpacing/>
        <w:jc w:val="both"/>
        <w:rPr>
          <w:rFonts w:asciiTheme="minorHAnsi" w:eastAsiaTheme="minorEastAsia" w:hAnsiTheme="minorHAnsi" w:cstheme="minorHAnsi"/>
          <w:b/>
          <w:i/>
          <w:sz w:val="18"/>
          <w:szCs w:val="18"/>
          <w:lang w:eastAsia="pl-PL"/>
        </w:rPr>
      </w:pPr>
    </w:p>
    <w:p w14:paraId="473F9E05" w14:textId="77777777" w:rsidR="00AE6080" w:rsidRPr="00B12B44" w:rsidRDefault="00AE6080" w:rsidP="00AE6080">
      <w:pPr>
        <w:ind w:right="-142"/>
        <w:contextualSpacing/>
        <w:jc w:val="both"/>
        <w:rPr>
          <w:rFonts w:asciiTheme="minorHAnsi" w:eastAsiaTheme="minorEastAsia" w:hAnsiTheme="minorHAnsi" w:cstheme="minorHAnsi"/>
          <w:b/>
          <w:iCs/>
          <w:sz w:val="18"/>
          <w:szCs w:val="18"/>
          <w:lang w:eastAsia="pl-PL"/>
        </w:rPr>
      </w:pPr>
      <w:r w:rsidRPr="00B12B44">
        <w:rPr>
          <w:rFonts w:asciiTheme="minorHAnsi" w:eastAsiaTheme="minorEastAsia" w:hAnsiTheme="minorHAnsi" w:cstheme="minorHAnsi"/>
          <w:b/>
          <w:iCs/>
          <w:sz w:val="18"/>
          <w:szCs w:val="18"/>
          <w:lang w:eastAsia="pl-PL"/>
        </w:rPr>
        <w:t>Budynki (CPV 4521000-2)</w:t>
      </w:r>
    </w:p>
    <w:p w14:paraId="6E9DF58A" w14:textId="77777777" w:rsidR="00AE6080" w:rsidRPr="00B12B44" w:rsidRDefault="00AE6080" w:rsidP="00AE6080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n-GB"/>
        </w:rPr>
      </w:pPr>
      <w:r w:rsidRPr="00B12B44">
        <w:rPr>
          <w:rFonts w:asciiTheme="minorHAnsi" w:hAnsiTheme="minorHAnsi" w:cstheme="minorHAnsi"/>
          <w:color w:val="000000"/>
          <w:sz w:val="18"/>
          <w:szCs w:val="18"/>
          <w:lang w:eastAsia="en-GB"/>
        </w:rPr>
        <w:t>Przejście na bardziej zrównoważony model budownictwa jest jednym z kluczowych elementów jakie zamawiający może zrealizować w celu przybliżenia się do neutralności klimatycznej. W ramach zamówień tej kategorii zamawiający powinni uwzględniać czynniki środowiskowe związane z wykorzystywaniem budynków ze szczególnym uwzględnieniem zużycia energii. Ponadto powinny być uwzględnione takie czynniki jak materiały wykorzystane w budowie, jakość powietrza wewnątrz budynku, zużycie wody, wpływ na ruch drogowy, użytkowanie gruntów, a także odpady wytwarzane w trakcie prac budowlanych.</w:t>
      </w:r>
    </w:p>
    <w:p w14:paraId="3CE1932A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Zamawiający na etapie planowania i przygotowywania postępowania o udzielenie zamówienia na budynki powinien rozważyć:</w:t>
      </w:r>
    </w:p>
    <w:p w14:paraId="34D7789E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-stosowanie metodyki w zakresie zielonych zamówień na budynki, o której mowa w podręczniku Ekologiczne zakupy! </w:t>
      </w:r>
    </w:p>
    <w:p w14:paraId="493B0E61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-wykorzystanie takich narzędzi jak np. certyfikat LEED, BREEAM etc.</w:t>
      </w:r>
    </w:p>
    <w:p w14:paraId="79A375ED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0EF00B5F" w14:textId="77777777" w:rsidR="00AE6080" w:rsidRPr="00B12B44" w:rsidRDefault="00AE6080" w:rsidP="00AE6080">
      <w:pPr>
        <w:ind w:right="-142"/>
        <w:contextualSpacing/>
        <w:jc w:val="both"/>
        <w:rPr>
          <w:rFonts w:asciiTheme="minorHAnsi" w:eastAsiaTheme="minorEastAsia" w:hAnsiTheme="minorHAnsi" w:cstheme="minorHAnsi"/>
          <w:b/>
          <w:iCs/>
          <w:sz w:val="18"/>
          <w:szCs w:val="18"/>
          <w:lang w:eastAsia="pl-PL"/>
        </w:rPr>
      </w:pPr>
      <w:r w:rsidRPr="00B12B44">
        <w:rPr>
          <w:rFonts w:asciiTheme="minorHAnsi" w:eastAsiaTheme="minorEastAsia" w:hAnsiTheme="minorHAnsi" w:cstheme="minorHAnsi"/>
          <w:b/>
          <w:iCs/>
          <w:sz w:val="18"/>
          <w:szCs w:val="18"/>
          <w:lang w:eastAsia="pl-PL"/>
        </w:rPr>
        <w:t>Produkty wykorzystujące energię (np. CPV 31000000-6)</w:t>
      </w:r>
    </w:p>
    <w:p w14:paraId="29F1022C" w14:textId="77777777" w:rsidR="00AE6080" w:rsidRPr="00B12B44" w:rsidRDefault="00AE6080" w:rsidP="00AE6080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n-GB"/>
        </w:rPr>
      </w:pPr>
      <w:r w:rsidRPr="00B12B44">
        <w:rPr>
          <w:rFonts w:asciiTheme="minorHAnsi" w:hAnsiTheme="minorHAnsi" w:cstheme="minorHAnsi"/>
          <w:color w:val="000000"/>
          <w:sz w:val="18"/>
          <w:szCs w:val="18"/>
          <w:lang w:eastAsia="en-GB"/>
        </w:rPr>
        <w:t xml:space="preserve">Sprzęt elektroniczny i elektryczny jest powszechnie wykorzystywany w działalności administracji publicznej i jednocześnie wywołuje negatywne skutki dla środowiska naturalnego. Wiele zamawiających z administracji rządowej poza komputerami, drukarkami oraz oświetleniem korzysta również ze specjalistycznych urządzeń. Wraz ze wzrostem liczby wykorzystywanych urządzeń wzrasta również konieczność kontrolowania kosztów związanych z ich poborem energii oraz wpływu na środowisko. </w:t>
      </w:r>
    </w:p>
    <w:p w14:paraId="1DED107A" w14:textId="77777777" w:rsidR="00AE6080" w:rsidRPr="00B12B44" w:rsidRDefault="00AE6080" w:rsidP="00AE6080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n-GB"/>
        </w:rPr>
      </w:pPr>
      <w:r w:rsidRPr="00B12B44">
        <w:rPr>
          <w:rFonts w:asciiTheme="minorHAnsi" w:hAnsiTheme="minorHAnsi" w:cstheme="minorHAnsi"/>
          <w:color w:val="000000"/>
          <w:sz w:val="18"/>
          <w:szCs w:val="18"/>
          <w:lang w:eastAsia="en-GB"/>
        </w:rPr>
        <w:t>Na rynku dostępne są rozwiązania sprzyjające przeciwdziałaniu negatywnym skutkom dla środowiska takich produktów, jak np. ultra-wydajny sprzęt informatyczny czy energooszczędne oświetlenie.</w:t>
      </w:r>
    </w:p>
    <w:p w14:paraId="2A9DDE88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056EC274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Zamawiający na etapie planowania i przygotowywania postępowania o udzielenie zamówienia, którego przedmiotem będą produkty wykorzystujące energię, powinni rozważyć:</w:t>
      </w:r>
    </w:p>
    <w:p w14:paraId="052694B7" w14:textId="77777777" w:rsidR="00AE6080" w:rsidRPr="00B12B44" w:rsidRDefault="00AE6080" w:rsidP="00AE6080">
      <w:pPr>
        <w:numPr>
          <w:ilvl w:val="0"/>
          <w:numId w:val="80"/>
        </w:num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stosowanie metodyki w zakresie zielonych zamówień na produkty wykorzystujące energię, o której mowa w podręczniku Ekologiczne zakupy!</w:t>
      </w:r>
    </w:p>
    <w:p w14:paraId="3423E947" w14:textId="77777777" w:rsidR="00AE6080" w:rsidRPr="00B12B44" w:rsidRDefault="00AE6080" w:rsidP="00AE6080">
      <w:pPr>
        <w:numPr>
          <w:ilvl w:val="0"/>
          <w:numId w:val="80"/>
        </w:num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uwzględnienie środków, o których mowa w załączniku III do dyrektywy Parlamentu Europejskiego i Rady 2012/27/UE z dnia 25 października 2012 r. w sprawie efektywności energetycznej, zmiany dyrektyw 2009/125/WE i 2010/30/UE oraz uchylenia dyrektyw 2004/8/WE i 2006/32/WE (Dz. Urz. UE L 315 z 14.11.2012, str. 1).</w:t>
      </w:r>
    </w:p>
    <w:p w14:paraId="60B9167E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37A0C77A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2E1155C8" w14:textId="77777777" w:rsidR="00AE6080" w:rsidRPr="00B12B44" w:rsidRDefault="00AE6080" w:rsidP="00AE6080">
      <w:pPr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Dyrektywa w sprawie charakterystyki energetycznej budynków (EPBD)</w:t>
      </w:r>
    </w:p>
    <w:p w14:paraId="6A14B7EA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37E0792E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1.    Zapewnienie wykorzystania energii słonecznej w nowobudowanych budynkach.</w:t>
      </w:r>
    </w:p>
    <w:p w14:paraId="3995A623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Państwa członkowskie są zobowiązane do ustanowienia przepisów techniczno-budowlanych, dzięki którym nowe budynki byłyby projektowane w celu optymalizacji wykorzystania energii słonecznej.</w:t>
      </w:r>
      <w: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Wymogi stosowania instalacji słonecznych w zależności od własności budynku oraz powierzchni użytkowej będą wchodzić w życie w różnych terminach, przykładowo począwszy od 31 grudnia 2026 r. (nowe budynki publiczne i niemieszkalne o powierzchni użytkowej powyżej 250 m2). Wykonanie będzie uzależnione od technicznej wykonalności i ekonomicznej opłacalności.</w:t>
      </w:r>
    </w:p>
    <w:p w14:paraId="3D13710B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2DE49527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Agenda 2030 to strategia zrównoważonego rozwoju świata do 2030 roku, przyjęta jednogłośnie przez wszystkie kraje ONZ w 2015 roku. Zawiera 17 Celów Zrównoważonego Rozwoju (ang. </w:t>
      </w:r>
      <w:proofErr w:type="spellStart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SDGs</w:t>
      </w:r>
      <w:proofErr w:type="spellEnd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), 169 zadań i 231 wskaźników mierzenia postępów ich realizacji. Jednym z Celów jest Cel 12. Odpowiedzialna konsumpcja i produkcja, definiowana zgodnie z zasadami GOZ. Inne Cele zawarte w Agendzie, dotyczące m.in. rozwoju innowacji, przeciwdziałania katastrofie klimatycznej czy zanieczyszczeniom wody i gleby również wpisują się w działania na rzecz wprowadzenia gospodarki cyrkularnej.</w:t>
      </w:r>
    </w:p>
    <w:p w14:paraId="353AD10F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W wielu krajach inwestowanie w infrastrukturę - transport, system irygacyjny, energię oraz technologie informacyjno-komunikacyjne - ma zasadnicze znaczenie dla osiągnięcia zrównoważonego rozwoju i wzmocnienia całych społeczeństw. Już od 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lastRenderedPageBreak/>
        <w:t>dawna wiemy, że wzrost produktywności i dochodów, poprawa opieki zdrowotnej i lepsza edukacja są zależne od inwestowania w infrastrukturę.</w:t>
      </w:r>
    </w:p>
    <w:p w14:paraId="2C7308C3" w14:textId="77777777" w:rsidR="00AE6080" w:rsidRPr="00B12B44" w:rsidRDefault="00AE6080" w:rsidP="00AE6080">
      <w:pPr>
        <w:jc w:val="center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noProof/>
          <w:kern w:val="2"/>
          <w:sz w:val="18"/>
          <w:szCs w:val="18"/>
          <w14:ligatures w14:val="standardContextual"/>
        </w:rPr>
        <w:drawing>
          <wp:inline distT="0" distB="0" distL="0" distR="0" wp14:anchorId="1C77699C" wp14:editId="2C1B4B82">
            <wp:extent cx="1283677" cy="1283677"/>
            <wp:effectExtent l="0" t="0" r="0" b="0"/>
            <wp:docPr id="355636894" name="Obraz 355636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82" cy="128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B44">
        <w:rPr>
          <w:rFonts w:asciiTheme="minorHAnsi" w:eastAsiaTheme="minorHAnsi" w:hAnsiTheme="minorHAnsi" w:cstheme="minorHAnsi"/>
          <w:noProof/>
          <w:kern w:val="2"/>
          <w:sz w:val="18"/>
          <w:szCs w:val="18"/>
          <w14:ligatures w14:val="standardContextual"/>
        </w:rPr>
        <w:drawing>
          <wp:inline distT="0" distB="0" distL="0" distR="0" wp14:anchorId="2E2C78CB" wp14:editId="7B22D0EB">
            <wp:extent cx="1283921" cy="1283921"/>
            <wp:effectExtent l="0" t="0" r="0" b="0"/>
            <wp:docPr id="2025009392" name="Obraz 2025009392" descr="Cel 11: Uczynić miasta i osiedla ludzkie bezpiecznymi, stabilnymi, zrównoważonymi &#10;oraz sprzyjającymi włączeniu społeczn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l 11: Uczynić miasta i osiedla ludzkie bezpiecznymi, stabilnymi, zrównoważonymi &#10;oraz sprzyjającymi włączeniu społecznem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23" cy="13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3F249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Zadania (zamieszczone w Agendzie na Rzecz Zrównoważonego Rozwoju 2030)</w:t>
      </w:r>
    </w:p>
    <w:p w14:paraId="0212C55F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</w:p>
    <w:p w14:paraId="252A81BD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2.1  Rozwijać niezawodną, zrównoważoną i odporną infrastrukturę dobrej jakości, w tym infrastrukturę regionalną i transgraniczną, wspierającą rozwój gospodarczy i dobrobyt ludzi. Zapewnić  wszystkim ludziom równy dostęp do infrastruktury po przystępnej cenie.</w:t>
      </w:r>
    </w:p>
    <w:p w14:paraId="6ABFFA4A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2.2  Do 2030 roku podwyższyć jakość infrastruktury i wprowadzić zrównoważony rozwój przemysłu przez zwiększenie efektywności wykorzystania zasobów oraz stosowanie czystych i przyjaznych dla środowiska technologii i procesów produkcyjnych, przy udziale wszystkich krajów, zgodnie z ich możliwościami.</w:t>
      </w:r>
    </w:p>
    <w:p w14:paraId="61F1D66D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2.3  Do 2030 roku zapewnić wszystkim ludziom dostęp do bezpiecznych, przystępnych cenowo i trwałych systemów transportu, podnieść poziom bezpieczeństwa na drogach, zwłaszcza poprzez rozwijanie transportu publicznego. Należy zwrócić szczególną uwagę na potrzeby grup wrażliwych, kobiet, dzieci, osób niepełnosprawnych i osób starszych.</w:t>
      </w:r>
    </w:p>
    <w:p w14:paraId="15BC02DE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68C6CE5F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3. Zamówienia społeczne </w:t>
      </w:r>
    </w:p>
    <w:p w14:paraId="2DE7F68B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1) Czym są zamówienia społeczne? </w:t>
      </w:r>
    </w:p>
    <w:p w14:paraId="36E9F8C8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Społecznie odpowiedzialne zamówienia publiczne stanowią (obok zamówień zielonych) jeden z rodzajów zrównoważonych zamówień publicznych. Należy przez nie rozumieć zamówienia publiczne, w ramach których zamawiający, dążąc do zaspokojenia własnej potrzeby zakupowej, uwzględnia w zamówieniu publicznym również aspekty społeczne, które mogą obejmować: </w:t>
      </w:r>
    </w:p>
    <w:p w14:paraId="48F9D2AB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wymóg zatrudnienia m.in. osób bezrobotnych, poszukujących pracy, osób usamodzielnianych czy też z niepełnosprawnościami; </w:t>
      </w:r>
    </w:p>
    <w:p w14:paraId="3313C4EF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godną pracę; </w:t>
      </w:r>
    </w:p>
    <w:p w14:paraId="1876E45C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zgodność z prawami społecznymi i z prawem do pracy;</w:t>
      </w:r>
    </w:p>
    <w:p w14:paraId="2423679A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b/>
          <w:bCs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integrację społeczną osób marginalizowanych (w tym także osób z niepełnosprawnościami); </w:t>
      </w:r>
    </w:p>
    <w:p w14:paraId="7D4A520A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b/>
          <w:bCs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równość szans i niedyskryminację; </w:t>
      </w:r>
    </w:p>
    <w:p w14:paraId="273A3455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b/>
          <w:bCs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zapewnienie dostępności dla wszystkich zainteresowanych; </w:t>
      </w:r>
    </w:p>
    <w:p w14:paraId="7EF66D87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uwzględnienie kryteriów zrównoważonego rozwoju, w tym kwestii etycznego handlu oraz szerszego dobrowolnego przestrzegania zasad społecznej odpowiedzialności biznesu (CSR). </w:t>
      </w:r>
    </w:p>
    <w:p w14:paraId="4ED4CD47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Oznacza to zatem dodatkowe wymagania względem zamawianej usługi, dostawy lub roboty budowlanej, wprowadzane przez zamawiającego do dokumentów zamówienia, które umożliwiają realizację celów społecznych w udzielanych zamówieniach publicznych. Aspekty społeczne mogą być uwzględniane na różnych etapach procesu udzielania zamówienia publicznego, takich jak planowanie i przygotowanie postępowania, prowadzenie postępowania o udzielenie zamówienia, jak również na etapie realizacji zamówienia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. Obecnie w systemie zamówień publicznych funkcjonują Zalecenia w sprawie uwzględniania przez administrację rządową aspektów społecznych w zamówieniach publicznych, przyjęte przez Radę Ministrów w dniu 29 marca 2017 r., które nakładają na wszystkich kierowników jednostek administracji rządowej obowiązek uwzględniania aspektów społecznych, w tym w szczególności klauzul społecznych, w możliwie jak najszerszym zakresie oraz w jak największej liczbie postępowań o udzielenie zamówienia publicznego20) . Polityka zakupowa wpisuje się w te zalecenia, uzupełnia je i wskazuje narzędzia efektywniejszego uwzględniania aspektów społecznych w danym zamówieniu. Wartym podkreślenia jest fakt, że społecznie odpowiedzialne zamówienia publiczne, mogą okazać się ważnym narzędziem także w przeciwdziałaniu niekorzystnym skutkom kryzysu związanego z wystąpieniem COVID-19.</w:t>
      </w:r>
    </w:p>
    <w:p w14:paraId="54D3F2BC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2) Korzyści ze stosowania aspektów społecznych </w:t>
      </w:r>
    </w:p>
    <w:p w14:paraId="6213FD3F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Społeczne zamówienia publiczne pozwalają osiągać wymierne korzyści nie tylko z punktu widzenia celów społecznych konkretnych zamawiających, ale także na poziomie regionalnym, krajowym czy międzynarodowym. Wśród korzyści, które można osiągnąć stosując aspekty społeczne w zamówieniach publicznych, można wskazać: </w:t>
      </w:r>
    </w:p>
    <w:p w14:paraId="33E749C1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zatrudnienie osób z grup zagrożonych wykluczeniem społecznym, przynajmniej na okres realizacji zamówienia, w tym młodzieży i pracowników po ukończeniu 50-go roku życia;</w:t>
      </w:r>
    </w:p>
    <w:p w14:paraId="4B055238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ułatwienie dostępu do zamówień podmiotom ekonomii społecznej; </w:t>
      </w:r>
    </w:p>
    <w:p w14:paraId="263017C5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b/>
          <w:bCs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możliwość dostosowania przedmiotu zamówienia do wymagań użytkowników końcowych, w szczególności osób z niepełnosprawnościami, osób z grup </w:t>
      </w:r>
      <w:proofErr w:type="spellStart"/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defaworyzowanych</w:t>
      </w:r>
      <w:proofErr w:type="spellEnd"/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; </w:t>
      </w:r>
    </w:p>
    <w:p w14:paraId="1E0CA9D9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b/>
          <w:bCs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podniesienie jakości życia, w szczególności osób z niepełnosprawnościami oraz osób z grup </w:t>
      </w:r>
      <w:proofErr w:type="spellStart"/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defaworyzowanych</w:t>
      </w:r>
      <w:proofErr w:type="spellEnd"/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; </w:t>
      </w:r>
    </w:p>
    <w:p w14:paraId="66DCB608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stosowanie w praktyce zasady równości szans; </w:t>
      </w:r>
    </w:p>
    <w:p w14:paraId="3C4046B2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preferowanie firm, które uwzględniają w praktyce aspekty społeczne; </w:t>
      </w:r>
    </w:p>
    <w:p w14:paraId="08E4E2D3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lastRenderedPageBreak/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promowanie wśród przedsiębiorców społecznej odpowiedzialności i etykiet społecznych.</w:t>
      </w:r>
    </w:p>
    <w:p w14:paraId="4FDE690E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227124F7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:u w:val="single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:u w:val="single"/>
          <w14:ligatures w14:val="standardContextual"/>
        </w:rPr>
        <w:t xml:space="preserve">Opis przedmiotu zamówienia </w:t>
      </w:r>
    </w:p>
    <w:p w14:paraId="69A3DA44" w14:textId="77777777" w:rsidR="00AE6080" w:rsidRPr="00B12B44" w:rsidRDefault="00AE6080" w:rsidP="00AE6080">
      <w:pPr>
        <w:numPr>
          <w:ilvl w:val="0"/>
          <w:numId w:val="82"/>
        </w:num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Normy</w:t>
      </w:r>
    </w:p>
    <w:p w14:paraId="4DF947EE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Narzędziem, którego stosowanie zaleca się na etapie przygotowania postępowania o udzielenie zamówienia, są Polskie Normy, w szczególności przenoszące normy europejskie oraz normy międzynarodowe</w:t>
      </w:r>
    </w:p>
    <w:p w14:paraId="6F495E82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Mając świadomość kierunku rozwoju zamówień publicznych i aktualnych wyzwań stawianych przed zamawiającymi, jest bardzo istotne wykorzystywanie ww. norm w zarządzaniu systemem zamówień publicznych. Z punktu widzenia normalizacyjnego normy są obiektywnym i niedyskryminującym narzędziem, które może realnie wpłynąć na realizowanie zamówień publicznych zgodnie z zasadą efektywności oraz zasadą równego traktowania. 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Zgodnie z rekomendacjami Polskiego Komitetu Normalizacyjnego, kluczowymi normami, które powinny być uwzględniane przez zamawiających, są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: </w:t>
      </w: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14001:2015-09 Systemy zarządzania środowiskowego – Wymagania i wytyczne stosowania; </w:t>
      </w:r>
    </w:p>
    <w:p w14:paraId="6CBB9464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9001:2015-10 Systemy zarządzania jakością – Wymagania;</w:t>
      </w:r>
    </w:p>
    <w:p w14:paraId="7338A135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ISO/IEC 27001:2017-06 Technika informatyczna – Techniki bezpieczeństwa – Systemy zarządzania bezpieczeństwem informacji – Wymagania; </w:t>
      </w:r>
    </w:p>
    <w:p w14:paraId="5E8D6936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50001:2018-09 Systemy zarządzania energią – Wymagania i wytyczne dotyczące stosowania; </w:t>
      </w:r>
    </w:p>
    <w:p w14:paraId="720A194D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PN-ISO 45001:2018-06 Systemy zarządzania bezpieczeństwem i higieną pracy – Wymagania i wytyczne stosowania; </w:t>
      </w:r>
    </w:p>
    <w:p w14:paraId="08799344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22000:2018-08 Systemy zarządzania bezpieczeństwem żywności – Wymagania dla każdej organizacji należącej do łańcucha żywnościowego; </w:t>
      </w:r>
    </w:p>
    <w:p w14:paraId="3B134795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PN-ISO 31000:2018-08 Zarządzanie ryzykiem – Wytyczne;</w:t>
      </w:r>
    </w:p>
    <w:p w14:paraId="6DADFB9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PN-ISO 37001:2017-05 Systemy zarządzania działaniami antykorupcyjnymi – Wymagania i wytyczne stosowania; </w:t>
      </w:r>
    </w:p>
    <w:p w14:paraId="4699AF3D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 EN ISO 19011:2018-08 Wytyczne dotyczące </w:t>
      </w:r>
      <w:proofErr w:type="spellStart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auditowania</w:t>
      </w:r>
      <w:proofErr w:type="spellEnd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systemów zarządzania;</w:t>
      </w:r>
    </w:p>
    <w:p w14:paraId="10E499D8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prPN</w:t>
      </w:r>
      <w:proofErr w:type="spellEnd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-EN 17371-1E Świadczenie usług – Część 1: Zamawianie usług – Wytyczne oceny zdolności usługodawców do świadczenia usług oraz ocena oferty usługi (projekt na etapie kontroli normalizacyjnej, możliwe jest przyspieszenie prac); </w:t>
      </w:r>
    </w:p>
    <w:p w14:paraId="2CEEAF6A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prPN-prEN</w:t>
      </w:r>
      <w:proofErr w:type="spellEnd"/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17371-2E Świadczenie usług – Część 2: Umowy dotyczące usług – Wytyczne do projektu, treści i struktury umów (projekt na etapie formalnego głosownia, który kończy się 20 maja 2021 r., planowana publikacja luty 2022 r.); 40) Zgodnie z art. 101 ust. 1 pkt 2 oraz ust. 3 ustawy Pzp. Monitor Polski – 96 – Poz. 125 95 </w:t>
      </w:r>
    </w:p>
    <w:p w14:paraId="5BCC34F9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17371-3:2020-12 Świadczenie usług – Część 3: Zarządzanie pomiarem wydajności – Wytyczne do mechanizmu pomiaru wydajności w zakresie umów dotyczących usług; </w:t>
      </w:r>
    </w:p>
    <w:p w14:paraId="4419088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22301:2020-04 Bezpieczeństwo i odporność – Systemy zarządzania ciągłością działania – Wymagania; </w:t>
      </w:r>
    </w:p>
    <w:p w14:paraId="0F68F53E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PN-EN ISO 14034:2019-01 Zarządzanie środowiskowe – Weryfikacja technologii środowiskowych (ETV).</w:t>
      </w:r>
    </w:p>
    <w:p w14:paraId="489508F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1885C379" w14:textId="77777777" w:rsidR="00AE6080" w:rsidRPr="00B12B44" w:rsidRDefault="00AE6080" w:rsidP="00AE6080">
      <w:pPr>
        <w:numPr>
          <w:ilvl w:val="0"/>
          <w:numId w:val="82"/>
        </w:num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Dostępność</w:t>
      </w:r>
    </w:p>
    <w:p w14:paraId="5EA8C755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Dostawy, usługi 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i roboty budowlane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powinny być dostępne dla wszystkich, w tym dla osób z niepełnosprawnościami. 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>Zamawiający są zobowiązani do uwzględniania w opisie przedmiotu zamówienia wymagań dotyczących dostępności przedmiotu zamówienia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>. Obowiązek ten wynika zarówno z art. 42 dyrektywy 2014/24/UE i art. 60 ust. 1 dyrektywy Parlamentu Europejskiego i Rady 2014/25/UE z dnia 26 lutego 2014 r. w sprawie udzielania zamówień przez podmioty działające w sektorach gospodarki wodnej, energetyki, transportu i usług pocztowych, uchylającej dyrektywę 2004/17/WE (Dz. Urz. UE L 94 z 28.03.2014, str. 243), jak i art. 100 ustawy Pzp. W</w:t>
      </w:r>
      <w:r w:rsidRPr="00B12B44"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  <w:t xml:space="preserve"> przypadku zamówień przeznaczonych do użytku osób fizycznych, jeżeli jest to uzasadnione przedmiotem zamówienia, opis przedmiotu zamówienia powinien zostać sporządzony, z uwzględnieniem wymagań w zakresie dostępności dla osób z niepełnosprawnościami oraz projektowania z przeznaczeniem dla wszystkich użytkowników.</w:t>
      </w:r>
    </w:p>
    <w:p w14:paraId="0BF3E192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b/>
          <w:bCs/>
          <w:kern w:val="2"/>
          <w:sz w:val="18"/>
          <w:szCs w:val="18"/>
          <w14:ligatures w14:val="standardContextual"/>
        </w:rPr>
      </w:pPr>
    </w:p>
    <w:p w14:paraId="262161C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Zamawiający, przygotowując zamówienie/konkurs oraz postanowienia umowy w sprawie zamówienia publicznego, powinni: </w:t>
      </w:r>
    </w:p>
    <w:p w14:paraId="69B0CA8F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przeanalizować, które spośród wymagań wymienionych w art. 6 ustawy o dostępności są adekwatne do zakresu zlecanego zadania, i odpowiednio sformułować postanowienia umowy, dostosowane do charakteru przedmiotu zamówienia; </w:t>
      </w:r>
    </w:p>
    <w:p w14:paraId="3E57C3CA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wskazać w dokumentacji postępowania lub konkursu, które elementy z art. 6 ustawy o dostępności są obligatoryjne do zastosowania;</w:t>
      </w:r>
    </w:p>
    <w:p w14:paraId="47FEEF2E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sformułować w umowie konkretne postanowienia dotyczące tego, w jaki sposób zadanie będzie realizowane, z zastosowaniem których wymagań z art. 6 ustawy o dostępności, lub określić obowiązek realizacji zadania w sposób „dostępny”, określony szczegółowo w ofercie złożonej na realizację zadania; </w:t>
      </w:r>
    </w:p>
    <w:p w14:paraId="1A2A868A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precyzyjnie wskazać zakres odpowiedzialności i konsekwencji niewywiązania się z nałożonych w umowie wymagań w zakresie dostępności.</w:t>
      </w:r>
    </w:p>
    <w:p w14:paraId="6C7812E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557A1FA7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          3) Zielone zamówienia publiczne </w:t>
      </w:r>
    </w:p>
    <w:p w14:paraId="491D2DB2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W podręczniku Komisji Europejskiej Ekologiczne Zakupy zostały zidentyfikowane 4 kluczowe branże, w których stosowanie aspektów środowiskowych powinno być uwzględniane przez zamawiających. Branże te cechują się dużym wpływem na środowisko oraz dużym znaczeniem budżetowym, co w połączniu z dostępnością rozwiązań bardziej przyjaznych środowisku może pozytywnie przyczynić się do realizowania celów klimatycznych, które stawia sobie Polska. Wśród tych branż znajdują się: </w:t>
      </w:r>
    </w:p>
    <w:p w14:paraId="7F6EF24E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roboty budowlane w zakresie budynków, </w:t>
      </w:r>
    </w:p>
    <w:p w14:paraId="5E52A913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usługi gastronomiczne i catering, </w:t>
      </w:r>
    </w:p>
    <w:p w14:paraId="242D18CB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lastRenderedPageBreak/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transport drogowy, </w:t>
      </w:r>
    </w:p>
    <w:p w14:paraId="711CE3E2" w14:textId="77777777" w:rsidR="00AE6080" w:rsidRPr="00B12B44" w:rsidRDefault="00AE6080" w:rsidP="00AE6080">
      <w:pPr>
        <w:contextualSpacing/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  <w:r w:rsidRPr="00B12B44">
        <w:rPr>
          <w:rFonts w:ascii="Segoe UI Symbol" w:eastAsiaTheme="minorHAnsi" w:hAnsi="Segoe UI Symbol" w:cs="Segoe UI Symbol"/>
          <w:kern w:val="2"/>
          <w:sz w:val="18"/>
          <w:szCs w:val="18"/>
          <w14:ligatures w14:val="standardContextual"/>
        </w:rPr>
        <w:t>➢</w:t>
      </w:r>
      <w:r w:rsidRPr="00B12B44"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  <w:t xml:space="preserve"> produkty wykorzystujące energię. </w:t>
      </w:r>
    </w:p>
    <w:p w14:paraId="7C5F4185" w14:textId="77777777" w:rsidR="00AE6080" w:rsidRPr="00B12B44" w:rsidRDefault="00AE6080" w:rsidP="00AE6080">
      <w:pPr>
        <w:jc w:val="both"/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6D618539" w14:textId="77777777" w:rsidR="00AE6080" w:rsidRPr="00B12B44" w:rsidRDefault="00AE6080" w:rsidP="00AE6080">
      <w:pPr>
        <w:rPr>
          <w:rFonts w:asciiTheme="minorHAnsi" w:eastAsiaTheme="minorHAnsi" w:hAnsiTheme="minorHAnsi" w:cstheme="minorHAnsi"/>
          <w:kern w:val="2"/>
          <w:sz w:val="18"/>
          <w:szCs w:val="18"/>
          <w14:ligatures w14:val="standardContextual"/>
        </w:rPr>
      </w:pPr>
    </w:p>
    <w:p w14:paraId="5140C9ED" w14:textId="77777777" w:rsidR="00AE6080" w:rsidRDefault="00AE6080" w:rsidP="00AE6080">
      <w:pPr>
        <w:keepNext/>
        <w:widowControl w:val="0"/>
        <w:suppressAutoHyphens/>
        <w:outlineLvl w:val="0"/>
        <w:rPr>
          <w:rFonts w:eastAsia="SimSun"/>
          <w:b/>
          <w:kern w:val="2"/>
          <w:lang w:eastAsia="hi-IN" w:bidi="hi-IN"/>
        </w:rPr>
      </w:pPr>
    </w:p>
    <w:p w14:paraId="3D8F6A6E" w14:textId="77777777" w:rsidR="00AE6080" w:rsidRDefault="00AE6080" w:rsidP="00AE6080">
      <w:pPr>
        <w:keepNext/>
        <w:widowControl w:val="0"/>
        <w:suppressAutoHyphens/>
        <w:outlineLvl w:val="0"/>
        <w:rPr>
          <w:rFonts w:eastAsia="SimSun"/>
          <w:b/>
          <w:kern w:val="2"/>
          <w:lang w:eastAsia="hi-IN" w:bidi="hi-IN"/>
        </w:rPr>
      </w:pPr>
    </w:p>
    <w:p w14:paraId="41F2D5ED" w14:textId="77777777" w:rsidR="00AE6080" w:rsidRPr="00FE76E5" w:rsidRDefault="00AE6080" w:rsidP="00AE6080">
      <w:pPr>
        <w:suppressAutoHyphens/>
        <w:rPr>
          <w:rFonts w:eastAsia="Calibri"/>
          <w:sz w:val="18"/>
          <w:szCs w:val="18"/>
          <w:lang w:eastAsia="ar-SA"/>
        </w:rPr>
      </w:pPr>
      <w:r w:rsidRPr="00FE76E5">
        <w:rPr>
          <w:rFonts w:eastAsia="Calibri"/>
          <w:sz w:val="18"/>
          <w:szCs w:val="18"/>
          <w:lang w:eastAsia="ar-SA"/>
        </w:rPr>
        <w:t>________________ dnia __.__.____ r.</w:t>
      </w:r>
    </w:p>
    <w:p w14:paraId="1C05C861" w14:textId="77777777" w:rsidR="00AE6080" w:rsidRDefault="00AE6080" w:rsidP="00AE6080">
      <w:pPr>
        <w:ind w:left="720"/>
        <w:rPr>
          <w:sz w:val="16"/>
          <w:szCs w:val="16"/>
        </w:rPr>
      </w:pPr>
      <w:r w:rsidRPr="005D4E07">
        <w:rPr>
          <w:sz w:val="16"/>
          <w:szCs w:val="16"/>
        </w:rPr>
        <w:t>(miejscowość i data)</w:t>
      </w:r>
    </w:p>
    <w:p w14:paraId="24E4FE91" w14:textId="77777777" w:rsidR="00AE6080" w:rsidRDefault="00AE6080" w:rsidP="00AE6080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0006C58A" w14:textId="77777777" w:rsidR="00AE6080" w:rsidRDefault="00AE6080" w:rsidP="00AE6080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336429">
        <w:rPr>
          <w:rFonts w:ascii="Times New Roman" w:hAnsi="Times New Roman"/>
          <w:b/>
          <w:bCs/>
          <w:i/>
          <w:iCs/>
          <w:sz w:val="16"/>
          <w:szCs w:val="16"/>
        </w:rPr>
        <w:t xml:space="preserve">Dokument ten należy podpisać elektronicznie, zgodnie z wymogami zawartymi w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Zaproszeniu do Negocjacji </w:t>
      </w:r>
      <w:r w:rsidRPr="00336429">
        <w:rPr>
          <w:rFonts w:ascii="Times New Roman" w:hAnsi="Times New Roman"/>
          <w:b/>
          <w:bCs/>
          <w:i/>
          <w:iCs/>
          <w:sz w:val="16"/>
          <w:szCs w:val="16"/>
        </w:rPr>
        <w:t>do niniejszego postępowania</w:t>
      </w:r>
    </w:p>
    <w:p w14:paraId="1ED4EFD7" w14:textId="77777777" w:rsidR="00AE6080" w:rsidRDefault="00AE6080" w:rsidP="00AE6080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bookmarkEnd w:id="0"/>
    <w:p w14:paraId="6A01C121" w14:textId="77777777" w:rsidR="00AE6080" w:rsidRDefault="00AE6080" w:rsidP="00AE6080">
      <w:pPr>
        <w:pStyle w:val="Zwykytekst1"/>
        <w:spacing w:before="120" w:line="288" w:lineRule="auto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605AF50A" w14:textId="77777777" w:rsidR="00AE6080" w:rsidRDefault="00AE6080" w:rsidP="00AE6080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71917D38" w14:textId="77777777" w:rsidR="00A174FB" w:rsidRPr="00AE6080" w:rsidRDefault="00A174FB" w:rsidP="00AE6080"/>
    <w:sectPr w:rsidR="00A174FB" w:rsidRPr="00AE6080" w:rsidSect="009F5C99">
      <w:footerReference w:type="default" r:id="rId10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7DAE4" w14:textId="77777777" w:rsidR="00844578" w:rsidRDefault="00844578">
      <w:r>
        <w:separator/>
      </w:r>
    </w:p>
  </w:endnote>
  <w:endnote w:type="continuationSeparator" w:id="0">
    <w:p w14:paraId="0074D5B1" w14:textId="77777777" w:rsidR="00844578" w:rsidRDefault="008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4C2B92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4C2B92" w:rsidRDefault="004C2B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06772" w14:textId="77777777" w:rsidR="00844578" w:rsidRDefault="00844578">
      <w:r>
        <w:separator/>
      </w:r>
    </w:p>
  </w:footnote>
  <w:footnote w:type="continuationSeparator" w:id="0">
    <w:p w14:paraId="7A8F5D37" w14:textId="77777777" w:rsidR="00844578" w:rsidRDefault="0084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A9674D4"/>
    <w:multiLevelType w:val="hybridMultilevel"/>
    <w:tmpl w:val="3AEA8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1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4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7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8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1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3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7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8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9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6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7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8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9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1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2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3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3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4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2"/>
    <w:lvlOverride w:ilvl="0">
      <w:startOverride w:val="1"/>
    </w:lvlOverride>
  </w:num>
  <w:num w:numId="3" w16cid:durableId="1358241626">
    <w:abstractNumId w:val="70"/>
  </w:num>
  <w:num w:numId="4" w16cid:durableId="1992900587">
    <w:abstractNumId w:val="67"/>
  </w:num>
  <w:num w:numId="5" w16cid:durableId="473451135">
    <w:abstractNumId w:val="88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7"/>
  </w:num>
  <w:num w:numId="11" w16cid:durableId="813447791">
    <w:abstractNumId w:val="106"/>
  </w:num>
  <w:num w:numId="12" w16cid:durableId="476846075">
    <w:abstractNumId w:val="71"/>
  </w:num>
  <w:num w:numId="13" w16cid:durableId="1004163356">
    <w:abstractNumId w:val="50"/>
  </w:num>
  <w:num w:numId="14" w16cid:durableId="1859081583">
    <w:abstractNumId w:val="105"/>
  </w:num>
  <w:num w:numId="15" w16cid:durableId="1064450994">
    <w:abstractNumId w:val="73"/>
  </w:num>
  <w:num w:numId="16" w16cid:durableId="392854448">
    <w:abstractNumId w:val="107"/>
  </w:num>
  <w:num w:numId="17" w16cid:durableId="2024701505">
    <w:abstractNumId w:val="87"/>
  </w:num>
  <w:num w:numId="18" w16cid:durableId="628976226">
    <w:abstractNumId w:val="64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1"/>
  </w:num>
  <w:num w:numId="22" w16cid:durableId="20203313">
    <w:abstractNumId w:val="100"/>
  </w:num>
  <w:num w:numId="23" w16cid:durableId="288244820">
    <w:abstractNumId w:val="95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3"/>
  </w:num>
  <w:num w:numId="27" w16cid:durableId="1552229970">
    <w:abstractNumId w:val="44"/>
  </w:num>
  <w:num w:numId="28" w16cid:durableId="131675200">
    <w:abstractNumId w:val="90"/>
  </w:num>
  <w:num w:numId="29" w16cid:durableId="540482054">
    <w:abstractNumId w:val="48"/>
  </w:num>
  <w:num w:numId="30" w16cid:durableId="890307933">
    <w:abstractNumId w:val="108"/>
  </w:num>
  <w:num w:numId="31" w16cid:durableId="1045182703">
    <w:abstractNumId w:val="86"/>
  </w:num>
  <w:num w:numId="32" w16cid:durableId="841166294">
    <w:abstractNumId w:val="77"/>
  </w:num>
  <w:num w:numId="33" w16cid:durableId="495267890">
    <w:abstractNumId w:val="39"/>
  </w:num>
  <w:num w:numId="34" w16cid:durableId="1008294872">
    <w:abstractNumId w:val="60"/>
  </w:num>
  <w:num w:numId="35" w16cid:durableId="511258671">
    <w:abstractNumId w:val="112"/>
  </w:num>
  <w:num w:numId="36" w16cid:durableId="1317221227">
    <w:abstractNumId w:val="104"/>
  </w:num>
  <w:num w:numId="37" w16cid:durableId="1741098498">
    <w:abstractNumId w:val="65"/>
  </w:num>
  <w:num w:numId="38" w16cid:durableId="970211518">
    <w:abstractNumId w:val="85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4"/>
  </w:num>
  <w:num w:numId="43" w16cid:durableId="1741172589">
    <w:abstractNumId w:val="96"/>
    <w:lvlOverride w:ilvl="0">
      <w:startOverride w:val="1"/>
    </w:lvlOverride>
  </w:num>
  <w:num w:numId="44" w16cid:durableId="1597058269">
    <w:abstractNumId w:val="80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9"/>
  </w:num>
  <w:num w:numId="47" w16cid:durableId="1849370031">
    <w:abstractNumId w:val="69"/>
  </w:num>
  <w:num w:numId="48" w16cid:durableId="2055885580">
    <w:abstractNumId w:val="55"/>
  </w:num>
  <w:num w:numId="49" w16cid:durableId="942542358">
    <w:abstractNumId w:val="66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9"/>
  </w:num>
  <w:num w:numId="54" w16cid:durableId="716316609">
    <w:abstractNumId w:val="99"/>
  </w:num>
  <w:num w:numId="55" w16cid:durableId="1016804361">
    <w:abstractNumId w:val="35"/>
  </w:num>
  <w:num w:numId="56" w16cid:durableId="746922994">
    <w:abstractNumId w:val="110"/>
  </w:num>
  <w:num w:numId="57" w16cid:durableId="1596480337">
    <w:abstractNumId w:val="83"/>
  </w:num>
  <w:num w:numId="58" w16cid:durableId="937102725">
    <w:abstractNumId w:val="94"/>
  </w:num>
  <w:num w:numId="59" w16cid:durableId="1188645241">
    <w:abstractNumId w:val="92"/>
  </w:num>
  <w:num w:numId="60" w16cid:durableId="1000734992">
    <w:abstractNumId w:val="75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1"/>
  </w:num>
  <w:num w:numId="63" w16cid:durableId="1366979274">
    <w:abstractNumId w:val="109"/>
  </w:num>
  <w:num w:numId="64" w16cid:durableId="651639139">
    <w:abstractNumId w:val="103"/>
  </w:num>
  <w:num w:numId="65" w16cid:durableId="427628912">
    <w:abstractNumId w:val="81"/>
  </w:num>
  <w:num w:numId="66" w16cid:durableId="1914656850">
    <w:abstractNumId w:val="82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3"/>
  </w:num>
  <w:num w:numId="70" w16cid:durableId="1920409127">
    <w:abstractNumId w:val="114"/>
  </w:num>
  <w:num w:numId="71" w16cid:durableId="1257523417">
    <w:abstractNumId w:val="62"/>
  </w:num>
  <w:num w:numId="72" w16cid:durableId="324745944">
    <w:abstractNumId w:val="27"/>
  </w:num>
  <w:num w:numId="73" w16cid:durableId="901603500">
    <w:abstractNumId w:val="102"/>
  </w:num>
  <w:num w:numId="74" w16cid:durableId="460196280">
    <w:abstractNumId w:val="84"/>
  </w:num>
  <w:num w:numId="75" w16cid:durableId="1818838744">
    <w:abstractNumId w:val="68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1"/>
  </w:num>
  <w:num w:numId="79" w16cid:durableId="789664526">
    <w:abstractNumId w:val="89"/>
  </w:num>
  <w:num w:numId="80" w16cid:durableId="1485658096">
    <w:abstractNumId w:val="25"/>
  </w:num>
  <w:num w:numId="81" w16cid:durableId="1149400127">
    <w:abstractNumId w:val="5"/>
  </w:num>
  <w:num w:numId="82" w16cid:durableId="82191428">
    <w:abstractNumId w:val="5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B6B2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B7B2F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6DAE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471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0A3E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B92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DB1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42E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7F7E40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B77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578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4B2F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5C99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080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263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69C8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536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2362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16507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2023-02-08T07:47:00Z</dcterms:created>
  <dcterms:modified xsi:type="dcterms:W3CDTF">2025-03-14T09:44:00Z</dcterms:modified>
</cp:coreProperties>
</file>