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84213" w:rsidRDefault="00000000">
      <w:pPr>
        <w:spacing w:before="240" w:after="240"/>
        <w:rPr>
          <w:b/>
        </w:rPr>
      </w:pPr>
      <w:r>
        <w:rPr>
          <w:b/>
        </w:rPr>
        <w:t>ZAPYTANIE OFERTOWE</w:t>
      </w:r>
      <w:r>
        <w:rPr>
          <w:b/>
        </w:rPr>
        <w:br/>
      </w:r>
      <w:r>
        <w:t xml:space="preserve">dotyczące świadczenia usług </w:t>
      </w:r>
      <w:r>
        <w:rPr>
          <w:b/>
        </w:rPr>
        <w:t>Security Operations Center (SOC)</w:t>
      </w:r>
    </w:p>
    <w:p w14:paraId="00000002" w14:textId="77777777" w:rsidR="00784213" w:rsidRDefault="00000000">
      <w:pPr>
        <w:spacing w:before="240" w:after="240"/>
      </w:pPr>
      <w:r>
        <w:t>Zwracamy się z prośbą o przedstawienie oferty na świadczenie usługi SOC (Security Operations Center) w modelu całodobowego monitoringu i reagowania na incydenty bezpieczeństwa w infrastrukturze IT oraz OT naszej firmy.</w:t>
      </w:r>
    </w:p>
    <w:p w14:paraId="00000003" w14:textId="77777777" w:rsidR="00784213" w:rsidRDefault="00000000">
      <w:pPr>
        <w:spacing w:before="280"/>
        <w:rPr>
          <w:b/>
        </w:rPr>
      </w:pPr>
      <w:r>
        <w:rPr>
          <w:b/>
        </w:rPr>
        <w:t>Zakres wymaganych usług:</w:t>
      </w:r>
    </w:p>
    <w:p w14:paraId="4CC45608" w14:textId="364BD774" w:rsidR="004B0604" w:rsidRDefault="00000000" w:rsidP="004B0604">
      <w:pPr>
        <w:numPr>
          <w:ilvl w:val="0"/>
          <w:numId w:val="1"/>
        </w:numPr>
        <w:spacing w:before="240"/>
      </w:pPr>
      <w:r>
        <w:rPr>
          <w:b/>
        </w:rPr>
        <w:t>Monitoring systemów IT i OT</w:t>
      </w:r>
      <w:r>
        <w:t xml:space="preserve"> – całodobowy (24/7/365) nadzór nad systemami informatycznymi oraz komponentami infrastruktury OT (</w:t>
      </w:r>
      <w:proofErr w:type="spellStart"/>
      <w:r>
        <w:t>Operational</w:t>
      </w:r>
      <w:proofErr w:type="spellEnd"/>
      <w:r>
        <w:t xml:space="preserve"> Technology), w tym sterownikami, sieciami przemysłowymi, urządzeniami </w:t>
      </w:r>
      <w:proofErr w:type="spellStart"/>
      <w:r>
        <w:t>IoT</w:t>
      </w:r>
      <w:proofErr w:type="spellEnd"/>
      <w:r>
        <w:t xml:space="preserve"> oraz systemami SCADA.</w:t>
      </w:r>
    </w:p>
    <w:p w14:paraId="48720298" w14:textId="2A64674F" w:rsidR="004B0604" w:rsidRDefault="00000000" w:rsidP="004B0604">
      <w:pPr>
        <w:numPr>
          <w:ilvl w:val="0"/>
          <w:numId w:val="1"/>
        </w:numPr>
      </w:pPr>
      <w:r>
        <w:rPr>
          <w:b/>
        </w:rPr>
        <w:t>Analiza ruchu sieciowego</w:t>
      </w:r>
      <w:r>
        <w:t xml:space="preserve"> – ciągłe badanie i analiza ruchu sieciowego w celu wykrycia anomalii, ataków, nieautoryzowanego dostępu oraz prób eskalacji uprawnień.</w:t>
      </w:r>
    </w:p>
    <w:p w14:paraId="00000006" w14:textId="043E0496" w:rsidR="00784213" w:rsidRDefault="00000000">
      <w:pPr>
        <w:numPr>
          <w:ilvl w:val="0"/>
          <w:numId w:val="1"/>
        </w:numPr>
      </w:pPr>
      <w:r>
        <w:rPr>
          <w:b/>
        </w:rPr>
        <w:t>Reagowanie na incydenty</w:t>
      </w:r>
      <w:r>
        <w:t xml:space="preserve"> – natychmiastowa reakcja w przypadku wykrycia potencjalnie niebezpiecznego zdarzenia:</w:t>
      </w:r>
    </w:p>
    <w:p w14:paraId="00000007" w14:textId="77777777" w:rsidR="00784213" w:rsidRDefault="00000000" w:rsidP="004B0604">
      <w:pPr>
        <w:pStyle w:val="Akapitzlist"/>
        <w:numPr>
          <w:ilvl w:val="0"/>
          <w:numId w:val="4"/>
        </w:numPr>
      </w:pPr>
      <w:r>
        <w:t>powiadomienie e-mailowe na dedykowany adres,</w:t>
      </w:r>
    </w:p>
    <w:p w14:paraId="00000008" w14:textId="77777777" w:rsidR="00784213" w:rsidRDefault="00000000" w:rsidP="004B0604">
      <w:pPr>
        <w:pStyle w:val="Akapitzlist"/>
        <w:numPr>
          <w:ilvl w:val="0"/>
          <w:numId w:val="4"/>
        </w:numPr>
      </w:pPr>
      <w:r>
        <w:t>kontakt telefoniczny z osobami wskazanymi w umowie,</w:t>
      </w:r>
    </w:p>
    <w:p w14:paraId="00000009" w14:textId="68DBF878" w:rsidR="00784213" w:rsidRDefault="00000000" w:rsidP="004B0604">
      <w:pPr>
        <w:pStyle w:val="Akapitzlist"/>
        <w:numPr>
          <w:ilvl w:val="0"/>
          <w:numId w:val="4"/>
        </w:numPr>
      </w:pPr>
      <w:r>
        <w:t>rozpoczęcie procedury analizy i klasyfikacji incydentu zgodnie z ustalonym SLA.</w:t>
      </w:r>
    </w:p>
    <w:p w14:paraId="0000000A" w14:textId="77777777" w:rsidR="00784213" w:rsidRDefault="00000000">
      <w:pPr>
        <w:numPr>
          <w:ilvl w:val="0"/>
          <w:numId w:val="1"/>
        </w:numPr>
      </w:pPr>
      <w:r>
        <w:rPr>
          <w:b/>
        </w:rPr>
        <w:t>Raportowanie</w:t>
      </w:r>
      <w:r>
        <w:t>:</w:t>
      </w:r>
    </w:p>
    <w:p w14:paraId="0000000B" w14:textId="77777777" w:rsidR="00784213" w:rsidRDefault="00000000" w:rsidP="004B0604">
      <w:pPr>
        <w:pStyle w:val="Akapitzlist"/>
        <w:numPr>
          <w:ilvl w:val="0"/>
          <w:numId w:val="5"/>
        </w:numPr>
      </w:pPr>
      <w:r>
        <w:t>cotygodniowy raport operacyjny zawierający szczegółowe dane dotyczące przeanalizowanych zdarzeń, poziomu zagrożenia oraz rekomendacje działań korygujących,</w:t>
      </w:r>
    </w:p>
    <w:p w14:paraId="0000000C" w14:textId="59D80B54" w:rsidR="00784213" w:rsidRDefault="00000000" w:rsidP="004B0604">
      <w:pPr>
        <w:pStyle w:val="Akapitzlist"/>
        <w:numPr>
          <w:ilvl w:val="0"/>
          <w:numId w:val="5"/>
        </w:numPr>
      </w:pPr>
      <w:r>
        <w:t>comiesięczne spotkania warsztatowe (1 godzina) mające na celu omówienie kluczowych zdarzeń, analizę trendów oraz optymalizację zakresu monitoringu i współpracy.</w:t>
      </w:r>
    </w:p>
    <w:p w14:paraId="0000000D" w14:textId="77777777" w:rsidR="00784213" w:rsidRDefault="00000000">
      <w:pPr>
        <w:numPr>
          <w:ilvl w:val="0"/>
          <w:numId w:val="1"/>
        </w:numPr>
      </w:pPr>
      <w:r>
        <w:rPr>
          <w:b/>
        </w:rPr>
        <w:t>Pomoc po incydencie bezpieczeństwa / ataku</w:t>
      </w:r>
      <w:r>
        <w:t>:</w:t>
      </w:r>
    </w:p>
    <w:p w14:paraId="0000000E" w14:textId="77777777" w:rsidR="00784213" w:rsidRDefault="00000000" w:rsidP="004B0604">
      <w:pPr>
        <w:pStyle w:val="Akapitzlist"/>
        <w:numPr>
          <w:ilvl w:val="0"/>
          <w:numId w:val="6"/>
        </w:numPr>
      </w:pPr>
      <w:r w:rsidRPr="004B0604">
        <w:rPr>
          <w:b/>
        </w:rPr>
        <w:t xml:space="preserve">wsparcie </w:t>
      </w:r>
      <w:proofErr w:type="spellStart"/>
      <w:r w:rsidRPr="004B0604">
        <w:rPr>
          <w:b/>
        </w:rPr>
        <w:t>powłamaniowe</w:t>
      </w:r>
      <w:proofErr w:type="spellEnd"/>
      <w:r>
        <w:t xml:space="preserve"> (post-</w:t>
      </w:r>
      <w:proofErr w:type="spellStart"/>
      <w:r>
        <w:t>incident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>): analiza incydentu, ustalenie przyczyn, analiza wektorów ataku, źródeł zagrożenia oraz skutków naruszenia bezpieczeństwa,</w:t>
      </w:r>
    </w:p>
    <w:p w14:paraId="0000000F" w14:textId="50377965" w:rsidR="00784213" w:rsidRDefault="00000000" w:rsidP="004B0604">
      <w:pPr>
        <w:pStyle w:val="Akapitzlist"/>
        <w:numPr>
          <w:ilvl w:val="0"/>
          <w:numId w:val="6"/>
        </w:numPr>
      </w:pPr>
      <w:r>
        <w:t>przygotowanie szczegółowego raportu poreakcyjnego wraz z zaleceniami zmian organizacyjnych i technicznych (</w:t>
      </w:r>
      <w:proofErr w:type="spellStart"/>
      <w:r>
        <w:t>hardening</w:t>
      </w:r>
      <w:proofErr w:type="spellEnd"/>
      <w:r>
        <w:t>, polityki, aktualizacje, procedury) mających na celu zapobieżenie podobnym incydentom w przyszłości.</w:t>
      </w:r>
    </w:p>
    <w:p w14:paraId="00000010" w14:textId="77777777" w:rsidR="00784213" w:rsidRDefault="00000000">
      <w:pPr>
        <w:numPr>
          <w:ilvl w:val="0"/>
          <w:numId w:val="1"/>
        </w:numPr>
        <w:spacing w:after="240"/>
      </w:pPr>
      <w:r>
        <w:rPr>
          <w:b/>
        </w:rPr>
        <w:t>Proaktywne wsparcie bezpieczeństwa</w:t>
      </w:r>
      <w:r>
        <w:t xml:space="preserve"> – przekazywanie bieżących zaleceń konfiguracyjnych, polityk bezpieczeństwa i rekomendacji wynikających z analizy zagrożeń i aktualnych podatności.</w:t>
      </w:r>
    </w:p>
    <w:p w14:paraId="00000011" w14:textId="77777777" w:rsidR="00784213" w:rsidRDefault="00784213">
      <w:pPr>
        <w:spacing w:before="240" w:after="240"/>
      </w:pPr>
    </w:p>
    <w:p w14:paraId="00000012" w14:textId="77777777" w:rsidR="00784213" w:rsidRDefault="00000000">
      <w:pPr>
        <w:spacing w:before="280"/>
      </w:pPr>
      <w:r>
        <w:t>Obszary objęte monitoringiem:</w:t>
      </w:r>
    </w:p>
    <w:p w14:paraId="7B8D341B" w14:textId="142B5BA2" w:rsidR="005554B7" w:rsidRDefault="005554B7" w:rsidP="005554B7">
      <w:pPr>
        <w:pStyle w:val="Akapitzlist"/>
        <w:numPr>
          <w:ilvl w:val="0"/>
          <w:numId w:val="8"/>
        </w:numPr>
        <w:spacing w:after="240"/>
      </w:pPr>
      <w:r>
        <w:t>Około 100 stacji roboczych,</w:t>
      </w:r>
    </w:p>
    <w:p w14:paraId="01B93DE9" w14:textId="6B8E5DAE" w:rsidR="005554B7" w:rsidRDefault="005554B7" w:rsidP="005554B7">
      <w:pPr>
        <w:pStyle w:val="Akapitzlist"/>
        <w:numPr>
          <w:ilvl w:val="0"/>
          <w:numId w:val="8"/>
        </w:numPr>
        <w:spacing w:after="240"/>
      </w:pPr>
      <w:r>
        <w:t>30 maszyn wirtualnych,</w:t>
      </w:r>
    </w:p>
    <w:p w14:paraId="2EA1A70A" w14:textId="006376A8" w:rsidR="005554B7" w:rsidRDefault="005554B7" w:rsidP="005554B7">
      <w:pPr>
        <w:pStyle w:val="Akapitzlist"/>
        <w:numPr>
          <w:ilvl w:val="0"/>
          <w:numId w:val="8"/>
        </w:numPr>
        <w:spacing w:after="240"/>
      </w:pPr>
      <w:r>
        <w:t>16 serwerów aplikacyjnych,</w:t>
      </w:r>
    </w:p>
    <w:p w14:paraId="1A69F9AE" w14:textId="549EBFCD" w:rsidR="005554B7" w:rsidRDefault="005554B7" w:rsidP="005554B7">
      <w:pPr>
        <w:pStyle w:val="Akapitzlist"/>
        <w:numPr>
          <w:ilvl w:val="0"/>
          <w:numId w:val="8"/>
        </w:numPr>
        <w:spacing w:after="240"/>
      </w:pPr>
      <w:r>
        <w:lastRenderedPageBreak/>
        <w:t>5 firewalli,</w:t>
      </w:r>
    </w:p>
    <w:p w14:paraId="7DE39B7D" w14:textId="4F33694E" w:rsidR="005554B7" w:rsidRDefault="005554B7" w:rsidP="005554B7">
      <w:pPr>
        <w:pStyle w:val="Akapitzlist"/>
        <w:numPr>
          <w:ilvl w:val="0"/>
          <w:numId w:val="8"/>
        </w:numPr>
        <w:spacing w:after="240"/>
      </w:pPr>
      <w:r>
        <w:t>20 urządzeń sieciowych,</w:t>
      </w:r>
    </w:p>
    <w:p w14:paraId="327CB02E" w14:textId="00AE4D2D" w:rsidR="005554B7" w:rsidRDefault="005554B7" w:rsidP="005554B7">
      <w:pPr>
        <w:pStyle w:val="Akapitzlist"/>
        <w:numPr>
          <w:ilvl w:val="0"/>
          <w:numId w:val="8"/>
        </w:numPr>
        <w:spacing w:after="240"/>
      </w:pPr>
      <w:r>
        <w:t>System backupowy (monitoring integralności i poprawności działania),</w:t>
      </w:r>
    </w:p>
    <w:p w14:paraId="5DAC332F" w14:textId="32A2F0E5" w:rsidR="005554B7" w:rsidRDefault="005554B7" w:rsidP="005554B7">
      <w:pPr>
        <w:pStyle w:val="Akapitzlist"/>
        <w:numPr>
          <w:ilvl w:val="0"/>
          <w:numId w:val="8"/>
        </w:numPr>
        <w:spacing w:after="240"/>
      </w:pPr>
      <w:r>
        <w:t>Active Directory,</w:t>
      </w:r>
    </w:p>
    <w:p w14:paraId="20C939EC" w14:textId="6C7E94DD" w:rsidR="005554B7" w:rsidRDefault="005554B7" w:rsidP="005554B7">
      <w:pPr>
        <w:pStyle w:val="Akapitzlist"/>
        <w:numPr>
          <w:ilvl w:val="0"/>
          <w:numId w:val="8"/>
        </w:numPr>
        <w:spacing w:after="240"/>
      </w:pPr>
      <w:r>
        <w:t>Infrastruktura sieciowa (przełączniki, punkty dostępowe, Wi-Fi),</w:t>
      </w:r>
    </w:p>
    <w:p w14:paraId="7542F355" w14:textId="6BD13C07" w:rsidR="005554B7" w:rsidRDefault="005554B7" w:rsidP="005554B7">
      <w:pPr>
        <w:pStyle w:val="Akapitzlist"/>
        <w:numPr>
          <w:ilvl w:val="0"/>
          <w:numId w:val="8"/>
        </w:numPr>
        <w:spacing w:after="240"/>
      </w:pPr>
      <w:r>
        <w:t>Zasilacze awaryjne (UPS),</w:t>
      </w:r>
    </w:p>
    <w:p w14:paraId="4647F07D" w14:textId="7F730444" w:rsidR="005554B7" w:rsidRDefault="005554B7" w:rsidP="005554B7">
      <w:pPr>
        <w:pStyle w:val="Akapitzlist"/>
        <w:numPr>
          <w:ilvl w:val="0"/>
          <w:numId w:val="8"/>
        </w:numPr>
        <w:spacing w:after="240"/>
      </w:pPr>
      <w:r>
        <w:t>System pocztowy,</w:t>
      </w:r>
    </w:p>
    <w:p w14:paraId="1227631A" w14:textId="50E1BF41" w:rsidR="005554B7" w:rsidRDefault="005554B7" w:rsidP="005554B7">
      <w:pPr>
        <w:pStyle w:val="Akapitzlist"/>
        <w:numPr>
          <w:ilvl w:val="0"/>
          <w:numId w:val="8"/>
        </w:numPr>
        <w:spacing w:after="240"/>
      </w:pPr>
      <w:r>
        <w:t>Platforma Microsoft Office 365,</w:t>
      </w:r>
    </w:p>
    <w:p w14:paraId="1A7D2EE1" w14:textId="1208687C" w:rsidR="005554B7" w:rsidRDefault="005554B7" w:rsidP="005554B7">
      <w:pPr>
        <w:pStyle w:val="Akapitzlist"/>
        <w:numPr>
          <w:ilvl w:val="0"/>
          <w:numId w:val="8"/>
        </w:numPr>
        <w:spacing w:after="240"/>
      </w:pPr>
      <w:r>
        <w:t>Aplikacja do zgłaszania wniosków online,</w:t>
      </w:r>
    </w:p>
    <w:p w14:paraId="6C7CB9D3" w14:textId="74907F28" w:rsidR="005554B7" w:rsidRDefault="005554B7" w:rsidP="005554B7">
      <w:pPr>
        <w:pStyle w:val="Akapitzlist"/>
        <w:numPr>
          <w:ilvl w:val="0"/>
          <w:numId w:val="8"/>
        </w:numPr>
        <w:spacing w:after="240"/>
      </w:pPr>
      <w:r>
        <w:t>Elektroniczne Biuro Obsługi Klienta,</w:t>
      </w:r>
    </w:p>
    <w:p w14:paraId="6208F982" w14:textId="47CEDD09" w:rsidR="005554B7" w:rsidRDefault="005554B7" w:rsidP="005554B7">
      <w:pPr>
        <w:pStyle w:val="Akapitzlist"/>
        <w:numPr>
          <w:ilvl w:val="0"/>
          <w:numId w:val="8"/>
        </w:numPr>
        <w:spacing w:after="240"/>
      </w:pPr>
      <w:r>
        <w:t>Aplikacja księgowa,</w:t>
      </w:r>
    </w:p>
    <w:p w14:paraId="2796A2F0" w14:textId="3D58BAB7" w:rsidR="005554B7" w:rsidRDefault="005554B7" w:rsidP="005554B7">
      <w:pPr>
        <w:pStyle w:val="Akapitzlist"/>
        <w:numPr>
          <w:ilvl w:val="0"/>
          <w:numId w:val="8"/>
        </w:numPr>
        <w:spacing w:after="240"/>
      </w:pPr>
      <w:r>
        <w:t>Aplikacja bilingowa,</w:t>
      </w:r>
    </w:p>
    <w:p w14:paraId="6031056F" w14:textId="7851794D" w:rsidR="005554B7" w:rsidRDefault="005554B7" w:rsidP="005554B7">
      <w:pPr>
        <w:pStyle w:val="Akapitzlist"/>
        <w:numPr>
          <w:ilvl w:val="0"/>
          <w:numId w:val="8"/>
        </w:numPr>
        <w:spacing w:after="240"/>
      </w:pPr>
      <w:r>
        <w:t>Aplikacja stacji zlewnych,</w:t>
      </w:r>
    </w:p>
    <w:p w14:paraId="49A69BAD" w14:textId="66574AE7" w:rsidR="005554B7" w:rsidRDefault="005554B7" w:rsidP="005554B7">
      <w:pPr>
        <w:pStyle w:val="Akapitzlist"/>
        <w:numPr>
          <w:ilvl w:val="0"/>
          <w:numId w:val="8"/>
        </w:numPr>
        <w:spacing w:after="240"/>
      </w:pPr>
      <w:r>
        <w:t>System SCADA,</w:t>
      </w:r>
    </w:p>
    <w:p w14:paraId="33EB2695" w14:textId="2B44497C" w:rsidR="005554B7" w:rsidRDefault="005554B7" w:rsidP="005554B7">
      <w:pPr>
        <w:pStyle w:val="Akapitzlist"/>
        <w:numPr>
          <w:ilvl w:val="0"/>
          <w:numId w:val="8"/>
        </w:numPr>
        <w:spacing w:after="240"/>
      </w:pPr>
      <w:r>
        <w:t>Centralny system logowania (SIEM),</w:t>
      </w:r>
    </w:p>
    <w:p w14:paraId="34BAAC36" w14:textId="7E5F5B73" w:rsidR="005554B7" w:rsidRDefault="005554B7" w:rsidP="005554B7">
      <w:pPr>
        <w:pStyle w:val="Akapitzlist"/>
        <w:numPr>
          <w:ilvl w:val="0"/>
          <w:numId w:val="8"/>
        </w:numPr>
        <w:spacing w:after="240"/>
      </w:pPr>
      <w:r>
        <w:t>Infrastruktura OT – urządzenia przemysłowe, systemy automatyki, komponenty sieci przemysłowych.</w:t>
      </w:r>
    </w:p>
    <w:p w14:paraId="0000001B" w14:textId="77777777" w:rsidR="00784213" w:rsidRDefault="00000000">
      <w:pPr>
        <w:spacing w:before="240" w:after="240"/>
      </w:pPr>
      <w:r>
        <w:t>Zdarzenia są monitorowane z priorytetem dla zdarzeń krytycznych.</w:t>
      </w:r>
    </w:p>
    <w:p w14:paraId="0000001C" w14:textId="77777777" w:rsidR="00784213" w:rsidRDefault="00784213"/>
    <w:p w14:paraId="0000001D" w14:textId="77777777" w:rsidR="00784213" w:rsidRDefault="00000000">
      <w:pPr>
        <w:spacing w:before="280"/>
        <w:rPr>
          <w:b/>
        </w:rPr>
      </w:pPr>
      <w:r>
        <w:rPr>
          <w:b/>
        </w:rPr>
        <w:t>Wymagane informacje w ofercie:</w:t>
      </w:r>
    </w:p>
    <w:p w14:paraId="3E39A807" w14:textId="77777777" w:rsidR="000816D6" w:rsidRDefault="000816D6" w:rsidP="000816D6">
      <w:pPr>
        <w:numPr>
          <w:ilvl w:val="0"/>
          <w:numId w:val="7"/>
        </w:numPr>
        <w:spacing w:before="240"/>
      </w:pPr>
      <w:r>
        <w:t>Szczegółowy opis oferowanego modelu świadczenia usługi SOC (technologie, metody działania, dostępność zespołu).</w:t>
      </w:r>
    </w:p>
    <w:p w14:paraId="44EFE2C5" w14:textId="77777777" w:rsidR="000816D6" w:rsidRDefault="000816D6" w:rsidP="000816D6">
      <w:pPr>
        <w:numPr>
          <w:ilvl w:val="0"/>
          <w:numId w:val="7"/>
        </w:numPr>
      </w:pPr>
      <w:r>
        <w:t>Zakres oferowanego monitoringu IT i OT oraz narzędzia wykorzystywane do analizy i reagowania.</w:t>
      </w:r>
    </w:p>
    <w:p w14:paraId="41DB6B52" w14:textId="77777777" w:rsidR="000816D6" w:rsidRDefault="000816D6" w:rsidP="000816D6">
      <w:pPr>
        <w:numPr>
          <w:ilvl w:val="0"/>
          <w:numId w:val="7"/>
        </w:numPr>
      </w:pPr>
      <w:r>
        <w:t>Czas reakcji na incydenty oraz opis procedury eskalacji.</w:t>
      </w:r>
    </w:p>
    <w:p w14:paraId="19B0F4C5" w14:textId="77777777" w:rsidR="000816D6" w:rsidRDefault="000816D6" w:rsidP="000816D6">
      <w:pPr>
        <w:numPr>
          <w:ilvl w:val="0"/>
          <w:numId w:val="7"/>
        </w:numPr>
      </w:pPr>
      <w:r>
        <w:t xml:space="preserve">Zakres usług </w:t>
      </w:r>
      <w:proofErr w:type="spellStart"/>
      <w:r>
        <w:t>powłamaniowych</w:t>
      </w:r>
      <w:proofErr w:type="spellEnd"/>
      <w:r>
        <w:t xml:space="preserve"> – podejście, czas reakcji, zasoby.</w:t>
      </w:r>
    </w:p>
    <w:p w14:paraId="34AAE416" w14:textId="77777777" w:rsidR="000816D6" w:rsidRDefault="000816D6" w:rsidP="000816D6">
      <w:pPr>
        <w:numPr>
          <w:ilvl w:val="0"/>
          <w:numId w:val="7"/>
        </w:numPr>
      </w:pPr>
      <w:r>
        <w:t>Harmonogram i forma raportowania, przykład raportu tygodniowego.</w:t>
      </w:r>
    </w:p>
    <w:p w14:paraId="1AFCF484" w14:textId="77777777" w:rsidR="000816D6" w:rsidRDefault="000816D6" w:rsidP="000816D6">
      <w:pPr>
        <w:numPr>
          <w:ilvl w:val="0"/>
          <w:numId w:val="7"/>
        </w:numPr>
      </w:pPr>
      <w:r>
        <w:t>Cena usługi – miesięczny koszt netto/brutto oraz informacje o ewentualnych kosztach wdrożenia.</w:t>
      </w:r>
    </w:p>
    <w:p w14:paraId="753D1B3B" w14:textId="77777777" w:rsidR="000816D6" w:rsidRDefault="000816D6" w:rsidP="000816D6">
      <w:pPr>
        <w:numPr>
          <w:ilvl w:val="0"/>
          <w:numId w:val="7"/>
        </w:numPr>
      </w:pPr>
      <w:r>
        <w:t>Czas trwania umowy 12 miesięcy</w:t>
      </w:r>
    </w:p>
    <w:p w14:paraId="444A97E0" w14:textId="77777777" w:rsidR="000816D6" w:rsidRDefault="000816D6" w:rsidP="000816D6">
      <w:pPr>
        <w:numPr>
          <w:ilvl w:val="0"/>
          <w:numId w:val="7"/>
        </w:numPr>
      </w:pPr>
      <w:r>
        <w:t xml:space="preserve">Referencje lub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z podobnych wdrożeń min</w:t>
      </w:r>
    </w:p>
    <w:p w14:paraId="7CB14683" w14:textId="77777777" w:rsidR="000816D6" w:rsidRDefault="000816D6" w:rsidP="000816D6">
      <w:pPr>
        <w:pStyle w:val="Akapitzlist"/>
        <w:numPr>
          <w:ilvl w:val="0"/>
          <w:numId w:val="7"/>
        </w:numPr>
      </w:pPr>
      <w:r>
        <w:t xml:space="preserve"> </w:t>
      </w:r>
      <w:r w:rsidRPr="00D36615">
        <w:rPr>
          <w:b/>
          <w:bCs/>
        </w:rPr>
        <w:t>Warunek udziału w postępowaniu</w:t>
      </w:r>
      <w:r>
        <w:t xml:space="preserve">: </w:t>
      </w:r>
      <w:r w:rsidRPr="00D36615">
        <w:t>Wykonawca spełni warunek jeżeli wykaże, że w okresie ostatnich 3 (trzech) lat przed upływem terminu składania ofert, a jeżeli okres prowadzenia działalności jest krótszy – w tym okresie</w:t>
      </w:r>
      <w:r w:rsidRPr="00D36615">
        <w:rPr>
          <w:u w:val="single"/>
        </w:rPr>
        <w:t>, należycie wykonał</w:t>
      </w:r>
      <w:r>
        <w:t xml:space="preserve"> min 3 usługi polegające na wdrożeniu SOC (</w:t>
      </w:r>
      <w:r w:rsidRPr="00D36615">
        <w:t>Security Operations Center</w:t>
      </w:r>
      <w:r>
        <w:t>)</w:t>
      </w:r>
    </w:p>
    <w:p w14:paraId="00000026" w14:textId="77777777" w:rsidR="00784213" w:rsidRDefault="00784213"/>
    <w:sectPr w:rsidR="0078421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E04"/>
    <w:multiLevelType w:val="hybridMultilevel"/>
    <w:tmpl w:val="E01079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11162C"/>
    <w:multiLevelType w:val="hybridMultilevel"/>
    <w:tmpl w:val="90766ED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A873BC"/>
    <w:multiLevelType w:val="multilevel"/>
    <w:tmpl w:val="E5045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B40AA5"/>
    <w:multiLevelType w:val="multilevel"/>
    <w:tmpl w:val="0052C8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494251"/>
    <w:multiLevelType w:val="multilevel"/>
    <w:tmpl w:val="E5045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865CAE"/>
    <w:multiLevelType w:val="multilevel"/>
    <w:tmpl w:val="98104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2314DC"/>
    <w:multiLevelType w:val="hybridMultilevel"/>
    <w:tmpl w:val="F79CB4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27000FF"/>
    <w:multiLevelType w:val="multilevel"/>
    <w:tmpl w:val="DF927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2603216">
    <w:abstractNumId w:val="5"/>
  </w:num>
  <w:num w:numId="2" w16cid:durableId="2014336294">
    <w:abstractNumId w:val="3"/>
  </w:num>
  <w:num w:numId="3" w16cid:durableId="194196041">
    <w:abstractNumId w:val="7"/>
  </w:num>
  <w:num w:numId="4" w16cid:durableId="2103866485">
    <w:abstractNumId w:val="0"/>
  </w:num>
  <w:num w:numId="5" w16cid:durableId="780491665">
    <w:abstractNumId w:val="1"/>
  </w:num>
  <w:num w:numId="6" w16cid:durableId="623777171">
    <w:abstractNumId w:val="6"/>
  </w:num>
  <w:num w:numId="7" w16cid:durableId="1504319738">
    <w:abstractNumId w:val="4"/>
  </w:num>
  <w:num w:numId="8" w16cid:durableId="185608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13"/>
    <w:rsid w:val="000816D6"/>
    <w:rsid w:val="0022261E"/>
    <w:rsid w:val="00223E49"/>
    <w:rsid w:val="004B0604"/>
    <w:rsid w:val="005554B7"/>
    <w:rsid w:val="00784213"/>
    <w:rsid w:val="007E0034"/>
    <w:rsid w:val="00AF4B0C"/>
    <w:rsid w:val="00E61249"/>
    <w:rsid w:val="00E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B618"/>
  <w15:docId w15:val="{6433AF9D-6613-4333-9B46-D8D44C6A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4B0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ewrzyszcz</dc:creator>
  <cp:lastModifiedBy>Julia Majer</cp:lastModifiedBy>
  <cp:revision>2</cp:revision>
  <dcterms:created xsi:type="dcterms:W3CDTF">2025-05-27T11:07:00Z</dcterms:created>
  <dcterms:modified xsi:type="dcterms:W3CDTF">2025-05-27T11:07:00Z</dcterms:modified>
</cp:coreProperties>
</file>