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Niniejsza umowa została zawarta w wyniku przeprowadzonego na podstawie art. 275 - 296 ustawy z dnia 11 września 2019 r. – Prawo zamówień publicznych (Dz. U. z 2019 r. poz. </w:t>
      </w:r>
      <w:r w:rsidRPr="00F961F3">
        <w:rPr>
          <w:rFonts w:ascii="Times New Roman" w:eastAsia="Times New Roman" w:hAnsi="Times New Roman" w:cs="Times New Roman"/>
          <w:sz w:val="24"/>
          <w:szCs w:val="24"/>
          <w:lang w:eastAsia="pl-PL"/>
        </w:rPr>
        <w:lastRenderedPageBreak/>
        <w:t>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F83E90">
      <w:pPr>
        <w:pStyle w:val="Akapitzlist"/>
        <w:numPr>
          <w:ilvl w:val="0"/>
          <w:numId w:val="26"/>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3C4CA5">
        <w:rPr>
          <w:rFonts w:ascii="Times New Roman" w:eastAsia="Times New Roman" w:hAnsi="Times New Roman" w:cs="Times New Roman"/>
          <w:b/>
          <w:i/>
          <w:sz w:val="24"/>
          <w:szCs w:val="24"/>
          <w:lang w:eastAsia="pl-PL"/>
        </w:rPr>
        <w:t>Budowa sieci kanalizacji sanitarnej dla terenów nadpilicznych i ul. Krakowskiej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C468A3">
      <w:pPr>
        <w:pStyle w:val="Akapitzlist"/>
        <w:numPr>
          <w:ilvl w:val="0"/>
          <w:numId w:val="26"/>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Default="00F961F3" w:rsidP="00C468A3">
      <w:pPr>
        <w:pStyle w:val="Akapitzlist"/>
        <w:numPr>
          <w:ilvl w:val="0"/>
          <w:numId w:val="26"/>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 xml:space="preserve">Szczegółowy zakres </w:t>
      </w:r>
      <w:r w:rsidR="00976DAF" w:rsidRPr="008363E3">
        <w:rPr>
          <w:rFonts w:ascii="Times New Roman" w:eastAsia="Times New Roman" w:hAnsi="Times New Roman" w:cs="Times New Roman"/>
          <w:sz w:val="24"/>
          <w:szCs w:val="24"/>
          <w:lang w:eastAsia="pl-PL"/>
        </w:rPr>
        <w:t xml:space="preserve">prac znajduje się w </w:t>
      </w:r>
      <w:r w:rsidRPr="008363E3">
        <w:rPr>
          <w:rFonts w:ascii="Times New Roman" w:eastAsia="Times New Roman" w:hAnsi="Times New Roman" w:cs="Times New Roman"/>
          <w:sz w:val="24"/>
          <w:szCs w:val="24"/>
          <w:lang w:eastAsia="pl-PL"/>
        </w:rPr>
        <w:t>dokumentacji projektowej stanowiącej załącznik nr 4 do SWZ, która stanowi in</w:t>
      </w:r>
      <w:r w:rsidR="008363E3">
        <w:rPr>
          <w:rFonts w:ascii="Times New Roman" w:eastAsia="Times New Roman" w:hAnsi="Times New Roman" w:cs="Times New Roman"/>
          <w:sz w:val="24"/>
          <w:szCs w:val="24"/>
          <w:lang w:eastAsia="pl-PL"/>
        </w:rPr>
        <w:t>tegralną cześć niniejszej umowy</w:t>
      </w:r>
      <w:r w:rsidR="00C468A3" w:rsidRPr="008363E3">
        <w:rPr>
          <w:rFonts w:ascii="Times New Roman" w:eastAsia="Times New Roman" w:hAnsi="Times New Roman" w:cs="Times New Roman"/>
          <w:sz w:val="24"/>
          <w:szCs w:val="24"/>
          <w:lang w:eastAsia="pl-PL"/>
        </w:rPr>
        <w:t>.</w:t>
      </w:r>
    </w:p>
    <w:p w:rsidR="005E502D" w:rsidRDefault="00BD2F98" w:rsidP="005E502D">
      <w:pPr>
        <w:spacing w:after="0" w:line="240" w:lineRule="auto"/>
        <w:ind w:left="425"/>
        <w:jc w:val="both"/>
        <w:rPr>
          <w:rFonts w:ascii="Times New Roman" w:eastAsia="Times New Roman" w:hAnsi="Times New Roman" w:cs="Times New Roman"/>
          <w:sz w:val="24"/>
          <w:szCs w:val="24"/>
          <w:lang w:eastAsia="pl-PL"/>
        </w:rPr>
      </w:pPr>
      <w:r w:rsidRPr="00BD2F98">
        <w:rPr>
          <w:rFonts w:ascii="Times New Roman" w:eastAsia="Times New Roman" w:hAnsi="Times New Roman" w:cs="Times New Roman"/>
          <w:sz w:val="24"/>
          <w:szCs w:val="24"/>
          <w:lang w:eastAsia="pl-PL"/>
        </w:rPr>
        <w:t xml:space="preserve">Zakres przedmiotu </w:t>
      </w:r>
      <w:r>
        <w:rPr>
          <w:rFonts w:ascii="Times New Roman" w:eastAsia="Times New Roman" w:hAnsi="Times New Roman" w:cs="Times New Roman"/>
          <w:sz w:val="24"/>
          <w:szCs w:val="24"/>
          <w:lang w:eastAsia="pl-PL"/>
        </w:rPr>
        <w:t>zamówienia obejmuje</w:t>
      </w:r>
      <w:r w:rsidRPr="00BD2F98">
        <w:rPr>
          <w:rFonts w:ascii="Times New Roman" w:eastAsia="Times New Roman" w:hAnsi="Times New Roman" w:cs="Times New Roman"/>
          <w:sz w:val="24"/>
          <w:szCs w:val="24"/>
          <w:lang w:eastAsia="pl-PL"/>
        </w:rPr>
        <w:t xml:space="preserve"> wykonanie drugiego etapu budowy sieci kanalizacji sanitarnej</w:t>
      </w:r>
      <w:r w:rsidR="005E502D">
        <w:rPr>
          <w:rFonts w:ascii="Times New Roman" w:eastAsia="Times New Roman" w:hAnsi="Times New Roman" w:cs="Times New Roman"/>
          <w:sz w:val="24"/>
          <w:szCs w:val="24"/>
          <w:lang w:eastAsia="pl-PL"/>
        </w:rPr>
        <w:t xml:space="preserve"> w zakresie m.in.:</w:t>
      </w:r>
    </w:p>
    <w:p w:rsidR="005E502D" w:rsidRDefault="005E502D" w:rsidP="005E502D">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kanał tłoczny Ø110 z rur ciśnieniowych PE HD 100-RC, SDR17, PN10, D-110mm o długości 356.5m na odcinku od pompowni P1 do studni rozprężnej S1b</w:t>
      </w:r>
    </w:p>
    <w:p w:rsidR="005E502D" w:rsidRDefault="005E502D" w:rsidP="005E502D">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kanał grawitacyjny Ø200 z rur PVC-U pełnościennych o sztywności 8kPa o długości 17m na odcinku od studni S1b do </w:t>
      </w:r>
      <w:proofErr w:type="spellStart"/>
      <w:r>
        <w:rPr>
          <w:rFonts w:ascii="Times New Roman" w:eastAsia="Times New Roman" w:hAnsi="Times New Roman" w:cs="Times New Roman"/>
          <w:sz w:val="24"/>
          <w:szCs w:val="24"/>
          <w:lang w:eastAsia="pl-PL"/>
        </w:rPr>
        <w:t>istn</w:t>
      </w:r>
      <w:proofErr w:type="spellEnd"/>
      <w:r>
        <w:rPr>
          <w:rFonts w:ascii="Times New Roman" w:eastAsia="Times New Roman" w:hAnsi="Times New Roman" w:cs="Times New Roman"/>
          <w:sz w:val="24"/>
          <w:szCs w:val="24"/>
          <w:lang w:eastAsia="pl-PL"/>
        </w:rPr>
        <w:t>. studni S01</w:t>
      </w:r>
    </w:p>
    <w:p w:rsidR="00BD2F98" w:rsidRPr="00BD2F98" w:rsidRDefault="005E502D" w:rsidP="005E502D">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kompletna pompownia ścieków P1 wraz z zasilaniem energetycznym oraz ogrodzeniem i wjazdem</w:t>
      </w:r>
      <w:r w:rsidR="00BD2F98" w:rsidRPr="00BD2F98">
        <w:rPr>
          <w:rFonts w:ascii="Times New Roman" w:eastAsia="Times New Roman" w:hAnsi="Times New Roman" w:cs="Times New Roman"/>
          <w:sz w:val="24"/>
          <w:szCs w:val="24"/>
          <w:lang w:eastAsia="pl-PL"/>
        </w:rPr>
        <w:t>:</w:t>
      </w:r>
    </w:p>
    <w:p w:rsidR="00F961F3" w:rsidRPr="00C468A3" w:rsidRDefault="00F961F3" w:rsidP="00F90864">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C468A3">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w:t>
      </w:r>
      <w:bookmarkStart w:id="0" w:name="_GoBack"/>
      <w:bookmarkEnd w:id="0"/>
      <w:r w:rsidRPr="006046A9">
        <w:rPr>
          <w:rFonts w:ascii="Times New Roman" w:eastAsia="Times New Roman" w:hAnsi="Times New Roman" w:cs="Times New Roman"/>
          <w:sz w:val="24"/>
          <w:szCs w:val="24"/>
          <w:lang w:eastAsia="pl-PL"/>
        </w:rPr>
        <w:t>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w:t>
      </w:r>
      <w:r w:rsidR="00BD2F98">
        <w:rPr>
          <w:rFonts w:ascii="Times New Roman" w:eastAsia="Times New Roman" w:hAnsi="Times New Roman" w:cs="Times New Roman"/>
          <w:sz w:val="24"/>
          <w:szCs w:val="24"/>
          <w:lang w:eastAsia="pl-PL"/>
        </w:rPr>
        <w:t>ację projektową</w:t>
      </w:r>
      <w:r w:rsidRPr="00D7124C">
        <w:rPr>
          <w:rFonts w:ascii="Times New Roman" w:eastAsia="Times New Roman" w:hAnsi="Times New Roman" w:cs="Times New Roman"/>
          <w:sz w:val="24"/>
          <w:szCs w:val="24"/>
          <w:lang w:eastAsia="pl-PL"/>
        </w:rPr>
        <w:t xml:space="preserve">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w:t>
      </w:r>
      <w:r w:rsidR="00BD2F98">
        <w:rPr>
          <w:rFonts w:ascii="Times New Roman" w:eastAsia="Times New Roman" w:hAnsi="Times New Roman" w:cs="Times New Roman"/>
          <w:sz w:val="24"/>
          <w:szCs w:val="24"/>
          <w:lang w:eastAsia="pl-PL"/>
        </w:rPr>
        <w:t>zienniku budowy</w:t>
      </w:r>
      <w:r w:rsidRPr="00D7124C">
        <w:rPr>
          <w:rFonts w:ascii="Times New Roman" w:eastAsia="Times New Roman" w:hAnsi="Times New Roman" w:cs="Times New Roman"/>
          <w:sz w:val="24"/>
          <w:szCs w:val="24"/>
          <w:lang w:eastAsia="pl-PL"/>
        </w:rPr>
        <w:t xml:space="preserve">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0F4F7B" w:rsidRPr="00D7124C" w:rsidRDefault="000F4F7B" w:rsidP="000F4F7B">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0F4F7B">
        <w:rPr>
          <w:rFonts w:ascii="Times New Roman" w:eastAsia="Times New Roman" w:hAnsi="Times New Roman" w:cs="Times New Roman"/>
          <w:sz w:val="24"/>
          <w:szCs w:val="24"/>
          <w:lang w:eastAsia="pl-PL"/>
        </w:rPr>
        <w:t xml:space="preserve">Zakończenie robót będących przedmiotem umowy </w:t>
      </w:r>
      <w:r w:rsidRPr="000F4F7B">
        <w:rPr>
          <w:rFonts w:ascii="Times New Roman" w:eastAsia="Times New Roman" w:hAnsi="Times New Roman" w:cs="Times New Roman"/>
          <w:b/>
          <w:sz w:val="24"/>
          <w:szCs w:val="24"/>
          <w:lang w:eastAsia="pl-PL"/>
        </w:rPr>
        <w:t>winno nastąpić w okresie 8 miesięcy</w:t>
      </w:r>
      <w:r w:rsidRPr="00105829">
        <w:rPr>
          <w:rFonts w:ascii="Times New Roman" w:eastAsia="Times New Roman" w:hAnsi="Times New Roman" w:cs="Times New Roman"/>
          <w:b/>
          <w:sz w:val="24"/>
          <w:szCs w:val="24"/>
          <w:lang w:eastAsia="pl-PL"/>
        </w:rPr>
        <w:t xml:space="preserve"> od dnia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r w:rsidR="0015498C">
        <w:rPr>
          <w:rFonts w:ascii="Times New Roman" w:eastAsia="Times New Roman" w:hAnsi="Times New Roman" w:cs="Times New Roman"/>
          <w:sz w:val="24"/>
          <w:szCs w:val="24"/>
          <w:lang w:eastAsia="pl-PL"/>
        </w:rPr>
        <w:t xml:space="preserve"> Zamawiający przekaże Wykonawcy teren z wyłączeniem działki nr </w:t>
      </w:r>
      <w:proofErr w:type="spellStart"/>
      <w:r w:rsidR="0015498C">
        <w:rPr>
          <w:rFonts w:ascii="Times New Roman" w:eastAsia="Times New Roman" w:hAnsi="Times New Roman" w:cs="Times New Roman"/>
          <w:sz w:val="24"/>
          <w:szCs w:val="24"/>
          <w:lang w:eastAsia="pl-PL"/>
        </w:rPr>
        <w:t>ewid</w:t>
      </w:r>
      <w:proofErr w:type="spellEnd"/>
      <w:r w:rsidR="0015498C">
        <w:rPr>
          <w:rFonts w:ascii="Times New Roman" w:eastAsia="Times New Roman" w:hAnsi="Times New Roman" w:cs="Times New Roman"/>
          <w:sz w:val="24"/>
          <w:szCs w:val="24"/>
          <w:lang w:eastAsia="pl-PL"/>
        </w:rPr>
        <w:t xml:space="preserve">. 1123/13, która jest w zarządzie Mazowieckiego Zarządu Dróg Wojewódzkich w Warszawie i Wykonawca zobowiązany jest do uzyskania stosownych zezwoleń na wykonywanie robót w pasie drogowym drogi wojewódzkiej, o których mowa w Decyzji MZDW Nr 752/09/2017 z dnia 19.09.2017r. </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swojego zaplecza, utrzymanie ładu i porządku, usuwanie wszelkich śmieci, odpadków, opakowań i innych pozostałości po zużytych przez Wykonawcę materiałach na własny koszt. W przypadku nie wykonania tego obowiązku Wykonawca zostanie wezwany do </w:t>
      </w:r>
      <w:r w:rsidRPr="00D7124C">
        <w:rPr>
          <w:rFonts w:ascii="Times New Roman" w:eastAsia="Times New Roman" w:hAnsi="Times New Roman" w:cs="Times New Roman"/>
          <w:sz w:val="24"/>
          <w:szCs w:val="24"/>
          <w:lang w:eastAsia="pl-PL"/>
        </w:rPr>
        <w:lastRenderedPageBreak/>
        <w:t>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r w:rsidR="00A113C6">
        <w:rPr>
          <w:rFonts w:ascii="Times New Roman" w:eastAsia="Times New Roman" w:hAnsi="Times New Roman" w:cs="Times New Roman"/>
          <w:sz w:val="24"/>
          <w:szCs w:val="24"/>
          <w:lang w:eastAsia="pl-PL"/>
        </w:rPr>
        <w:t>, w tym opracowanie, uzgodnienie i wprowadzenie projektu czasowej organizacji ruchu dla dróg publicznych będących w różnych zarządach</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AC3AC0" w:rsidRDefault="00AC3AC0"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zajęcia pasów drogowych;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00AC3AC0">
        <w:rPr>
          <w:rFonts w:ascii="Times New Roman" w:eastAsia="Times New Roman" w:hAnsi="Times New Roman" w:cs="Times New Roman"/>
          <w:sz w:val="24"/>
          <w:szCs w:val="24"/>
          <w:lang w:eastAsia="pl-PL"/>
        </w:rPr>
        <w:t>w godzinach popołudniowych.</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Wynagrodzenie Wykonawcy, o którym mowa w §</w:t>
      </w:r>
      <w:r w:rsidR="00F1083F">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3, rozliczane</w:t>
      </w:r>
      <w:r w:rsidR="00AC3AC0">
        <w:rPr>
          <w:rFonts w:ascii="Times New Roman" w:eastAsia="Times New Roman" w:hAnsi="Times New Roman" w:cs="Times New Roman"/>
          <w:sz w:val="24"/>
          <w:szCs w:val="24"/>
          <w:lang w:eastAsia="pl-PL"/>
        </w:rPr>
        <w:t xml:space="preserve"> będzie na podstawie faktur</w:t>
      </w:r>
      <w:r w:rsidR="00F1083F">
        <w:rPr>
          <w:rFonts w:ascii="Times New Roman" w:eastAsia="Times New Roman" w:hAnsi="Times New Roman" w:cs="Times New Roman"/>
          <w:sz w:val="24"/>
          <w:szCs w:val="24"/>
          <w:lang w:eastAsia="pl-PL"/>
        </w:rPr>
        <w:t>y wystawionej</w:t>
      </w:r>
      <w:r w:rsidRPr="00382B5C">
        <w:rPr>
          <w:rFonts w:ascii="Times New Roman" w:eastAsia="Times New Roman" w:hAnsi="Times New Roman" w:cs="Times New Roman"/>
          <w:sz w:val="24"/>
          <w:szCs w:val="24"/>
          <w:lang w:eastAsia="pl-PL"/>
        </w:rPr>
        <w:t xml:space="preserve"> prze</w:t>
      </w:r>
      <w:r w:rsidR="00AC3AC0">
        <w:rPr>
          <w:rFonts w:ascii="Times New Roman" w:eastAsia="Times New Roman" w:hAnsi="Times New Roman" w:cs="Times New Roman"/>
          <w:sz w:val="24"/>
          <w:szCs w:val="24"/>
          <w:lang w:eastAsia="pl-PL"/>
        </w:rPr>
        <w:t>z Wykonawcę w oparciu o protokoły</w:t>
      </w:r>
      <w:r w:rsidRPr="00382B5C">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odbioru robót.</w:t>
      </w:r>
    </w:p>
    <w:p w:rsidR="00DC65D3" w:rsidRDefault="00F108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Fakturę</w:t>
      </w:r>
      <w:r w:rsidR="00F961F3" w:rsidRPr="00382B5C">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AC3AC0"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F961F3" w:rsidRPr="00382B5C">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 xml:space="preserve">nie </w:t>
      </w:r>
      <w:r w:rsidR="00F961F3" w:rsidRPr="00382B5C">
        <w:rPr>
          <w:rFonts w:ascii="Times New Roman" w:eastAsia="Times New Roman" w:hAnsi="Times New Roman" w:cs="Times New Roman"/>
          <w:sz w:val="24"/>
          <w:szCs w:val="24"/>
          <w:lang w:eastAsia="pl-PL"/>
        </w:rPr>
        <w:t>dop</w:t>
      </w:r>
      <w:r>
        <w:rPr>
          <w:rFonts w:ascii="Times New Roman" w:eastAsia="Times New Roman" w:hAnsi="Times New Roman" w:cs="Times New Roman"/>
          <w:sz w:val="24"/>
          <w:szCs w:val="24"/>
          <w:lang w:eastAsia="pl-PL"/>
        </w:rPr>
        <w:t>uszcza częściowe</w:t>
      </w:r>
      <w:r w:rsidR="00F1083F">
        <w:rPr>
          <w:rFonts w:ascii="Times New Roman" w:eastAsia="Times New Roman" w:hAnsi="Times New Roman" w:cs="Times New Roman"/>
          <w:sz w:val="24"/>
          <w:szCs w:val="24"/>
          <w:lang w:eastAsia="pl-PL"/>
        </w:rPr>
        <w:t>go</w:t>
      </w:r>
      <w:r w:rsidR="00DC65D3">
        <w:rPr>
          <w:rFonts w:ascii="Times New Roman" w:eastAsia="Times New Roman" w:hAnsi="Times New Roman" w:cs="Times New Roman"/>
          <w:sz w:val="24"/>
          <w:szCs w:val="24"/>
          <w:lang w:eastAsia="pl-PL"/>
        </w:rPr>
        <w:t xml:space="preserve"> fakturowani</w:t>
      </w:r>
      <w:r w:rsidR="00F1083F">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w:t>
      </w:r>
      <w:r w:rsidR="00F1083F">
        <w:rPr>
          <w:rFonts w:ascii="Times New Roman" w:eastAsia="Times New Roman" w:hAnsi="Times New Roman" w:cs="Times New Roman"/>
          <w:sz w:val="24"/>
          <w:szCs w:val="24"/>
          <w:lang w:eastAsia="pl-PL"/>
        </w:rPr>
        <w:t xml:space="preserve"> oraz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F1083F">
        <w:rPr>
          <w:rFonts w:ascii="Times New Roman" w:eastAsia="Times New Roman" w:hAnsi="Times New Roman" w:cs="Times New Roman"/>
          <w:sz w:val="24"/>
          <w:szCs w:val="24"/>
          <w:lang w:eastAsia="pl-PL"/>
        </w:rPr>
        <w:t>y, o którym mowa w ust. 17</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wraz z dokumentacją z </w:t>
      </w:r>
      <w:r w:rsidR="0084658F">
        <w:rPr>
          <w:rFonts w:ascii="Times New Roman" w:eastAsia="Times New Roman" w:hAnsi="Times New Roman" w:cs="Times New Roman"/>
          <w:sz w:val="24"/>
          <w:szCs w:val="24"/>
          <w:lang w:eastAsia="pl-PL"/>
        </w:rPr>
        <w:t>rozruchu pompowni ścieków</w:t>
      </w:r>
      <w:r>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84658F"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84658F">
        <w:rPr>
          <w:rFonts w:ascii="Times New Roman" w:eastAsia="Times New Roman" w:hAnsi="Times New Roman" w:cs="Times New Roman"/>
          <w:sz w:val="24"/>
          <w:szCs w:val="24"/>
          <w:lang w:eastAsia="pl-PL"/>
        </w:rPr>
        <w:t>zedmiotu umowy – w wysokości 0,3</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84658F">
        <w:rPr>
          <w:rFonts w:ascii="Times New Roman" w:eastAsia="Times New Roman" w:hAnsi="Times New Roman" w:cs="Times New Roman"/>
          <w:sz w:val="24"/>
          <w:szCs w:val="24"/>
          <w:lang w:eastAsia="pl-PL"/>
        </w:rPr>
        <w:t>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podwykonawcom w wysokości 1.0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wysokości 3</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two lub jej zmiany w wysokości 1.</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2623E3">
        <w:rPr>
          <w:rFonts w:ascii="Times New Roman" w:eastAsia="Times New Roman" w:hAnsi="Times New Roman" w:cs="Times New Roman"/>
          <w:sz w:val="24"/>
          <w:szCs w:val="24"/>
          <w:lang w:eastAsia="pl-PL"/>
        </w:rPr>
        <w:t>2</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00F961F3"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 xml:space="preserve">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t>
      </w:r>
      <w:r w:rsidRPr="00E45E9E">
        <w:rPr>
          <w:rFonts w:ascii="Times New Roman" w:eastAsia="Times New Roman" w:hAnsi="Times New Roman" w:cs="Times New Roman"/>
          <w:sz w:val="24"/>
          <w:szCs w:val="24"/>
          <w:lang w:eastAsia="pl-PL"/>
        </w:rPr>
        <w:lastRenderedPageBreak/>
        <w:t>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3F" w:rsidRDefault="00F1083F" w:rsidP="002A6ADB">
      <w:pPr>
        <w:spacing w:after="0" w:line="240" w:lineRule="auto"/>
      </w:pPr>
      <w:r>
        <w:separator/>
      </w:r>
    </w:p>
  </w:endnote>
  <w:endnote w:type="continuationSeparator" w:id="0">
    <w:p w:rsidR="00F1083F" w:rsidRDefault="00F1083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F1083F" w:rsidRDefault="00F1083F" w:rsidP="00984E63">
        <w:pPr>
          <w:pStyle w:val="Stopka"/>
          <w:jc w:val="right"/>
        </w:pPr>
        <w:r>
          <w:fldChar w:fldCharType="begin"/>
        </w:r>
        <w:r>
          <w:instrText>PAGE   \* MERGEFORMAT</w:instrText>
        </w:r>
        <w:r>
          <w:fldChar w:fldCharType="separate"/>
        </w:r>
        <w:r w:rsidR="007B4D03">
          <w:rPr>
            <w:noProof/>
          </w:rPr>
          <w:t>3</w:t>
        </w:r>
        <w:r>
          <w:fldChar w:fldCharType="end"/>
        </w:r>
      </w:p>
    </w:sdtContent>
  </w:sdt>
  <w:p w:rsidR="00F1083F" w:rsidRDefault="00F108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3F" w:rsidRDefault="00F1083F" w:rsidP="002A6ADB">
      <w:pPr>
        <w:spacing w:after="0" w:line="240" w:lineRule="auto"/>
      </w:pPr>
      <w:r>
        <w:separator/>
      </w:r>
    </w:p>
  </w:footnote>
  <w:footnote w:type="continuationSeparator" w:id="0">
    <w:p w:rsidR="00F1083F" w:rsidRDefault="00F1083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3F" w:rsidRDefault="00F1083F" w:rsidP="00984E63">
    <w:pPr>
      <w:pStyle w:val="Nagwek"/>
      <w:rPr>
        <w:rFonts w:asciiTheme="majorHAnsi" w:eastAsiaTheme="majorEastAsia" w:hAnsiTheme="majorHAnsi" w:cstheme="majorBidi"/>
      </w:rPr>
    </w:pPr>
    <w:r>
      <w:rPr>
        <w:rFonts w:asciiTheme="majorHAnsi" w:eastAsiaTheme="majorEastAsia" w:hAnsiTheme="majorHAnsi" w:cstheme="majorBidi"/>
      </w:rPr>
      <w:t>postępowanie I.271.3.2022</w:t>
    </w:r>
  </w:p>
  <w:p w:rsidR="00F1083F" w:rsidRDefault="00F1083F"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0EF88CBC" wp14:editId="703BBAF2">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F4F7B"/>
    <w:rsid w:val="00105829"/>
    <w:rsid w:val="0015498C"/>
    <w:rsid w:val="00187C2A"/>
    <w:rsid w:val="001B41FD"/>
    <w:rsid w:val="00201D42"/>
    <w:rsid w:val="002623E3"/>
    <w:rsid w:val="00291CC0"/>
    <w:rsid w:val="002A6ADB"/>
    <w:rsid w:val="002C4907"/>
    <w:rsid w:val="002E4160"/>
    <w:rsid w:val="002E7186"/>
    <w:rsid w:val="00333176"/>
    <w:rsid w:val="003331E5"/>
    <w:rsid w:val="00382B5C"/>
    <w:rsid w:val="003A54A9"/>
    <w:rsid w:val="003C4CA5"/>
    <w:rsid w:val="003E533F"/>
    <w:rsid w:val="00431975"/>
    <w:rsid w:val="00491C5E"/>
    <w:rsid w:val="0049534D"/>
    <w:rsid w:val="004B2AF5"/>
    <w:rsid w:val="004E4A88"/>
    <w:rsid w:val="004F0BE9"/>
    <w:rsid w:val="005055C2"/>
    <w:rsid w:val="00505B63"/>
    <w:rsid w:val="0054292E"/>
    <w:rsid w:val="00580FDA"/>
    <w:rsid w:val="005838B9"/>
    <w:rsid w:val="005852CE"/>
    <w:rsid w:val="005A2E1C"/>
    <w:rsid w:val="005D2DF7"/>
    <w:rsid w:val="005E502D"/>
    <w:rsid w:val="006046A9"/>
    <w:rsid w:val="006728F4"/>
    <w:rsid w:val="006A2E81"/>
    <w:rsid w:val="006A3678"/>
    <w:rsid w:val="00734D35"/>
    <w:rsid w:val="00780C8F"/>
    <w:rsid w:val="007B4D03"/>
    <w:rsid w:val="007D1674"/>
    <w:rsid w:val="008363E3"/>
    <w:rsid w:val="0084658F"/>
    <w:rsid w:val="008465E0"/>
    <w:rsid w:val="008A083D"/>
    <w:rsid w:val="008C17B6"/>
    <w:rsid w:val="00931ACB"/>
    <w:rsid w:val="00955D82"/>
    <w:rsid w:val="00976DAF"/>
    <w:rsid w:val="00984E63"/>
    <w:rsid w:val="009C1CEC"/>
    <w:rsid w:val="00A113C6"/>
    <w:rsid w:val="00AC3AC0"/>
    <w:rsid w:val="00AF4EDA"/>
    <w:rsid w:val="00B03B9C"/>
    <w:rsid w:val="00BD2F98"/>
    <w:rsid w:val="00BF7FEF"/>
    <w:rsid w:val="00C468A3"/>
    <w:rsid w:val="00CC1AB9"/>
    <w:rsid w:val="00CC2D44"/>
    <w:rsid w:val="00D0566D"/>
    <w:rsid w:val="00D7124C"/>
    <w:rsid w:val="00D94CA2"/>
    <w:rsid w:val="00DC65D3"/>
    <w:rsid w:val="00DD12BE"/>
    <w:rsid w:val="00DD5592"/>
    <w:rsid w:val="00E26932"/>
    <w:rsid w:val="00E44952"/>
    <w:rsid w:val="00E45E9E"/>
    <w:rsid w:val="00E57889"/>
    <w:rsid w:val="00E82B32"/>
    <w:rsid w:val="00EB2236"/>
    <w:rsid w:val="00EF2317"/>
    <w:rsid w:val="00F1083F"/>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35E2-3156-4B4C-8963-6497BA48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9635</Words>
  <Characters>57814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7</cp:revision>
  <dcterms:created xsi:type="dcterms:W3CDTF">2021-03-12T14:19:00Z</dcterms:created>
  <dcterms:modified xsi:type="dcterms:W3CDTF">2022-01-21T07:15:00Z</dcterms:modified>
</cp:coreProperties>
</file>