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BB89" w14:textId="26863E70" w:rsidR="00964814" w:rsidRDefault="00964814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071625AF" wp14:editId="3E4577C3">
            <wp:extent cx="5760720" cy="589915"/>
            <wp:effectExtent l="0" t="0" r="0" b="63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2766" w14:textId="6F7C50A5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154E32EC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74044A6B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63A7DE09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39FDE027" w14:textId="1D3BEF7A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964814">
        <w:rPr>
          <w:bCs/>
          <w:sz w:val="22"/>
        </w:rPr>
        <w:t>.9</w:t>
      </w:r>
      <w:r w:rsidR="006F47BC">
        <w:rPr>
          <w:bCs/>
          <w:sz w:val="22"/>
        </w:rPr>
        <w:t>6</w:t>
      </w:r>
      <w:r w:rsidR="00964814">
        <w:rPr>
          <w:bCs/>
          <w:sz w:val="22"/>
        </w:rPr>
        <w:t>.</w:t>
      </w:r>
      <w:r w:rsidRPr="00C74546">
        <w:rPr>
          <w:bCs/>
          <w:sz w:val="22"/>
        </w:rPr>
        <w:t>202</w:t>
      </w:r>
      <w:r w:rsidR="00964814">
        <w:rPr>
          <w:bCs/>
          <w:sz w:val="22"/>
        </w:rPr>
        <w:t>3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5B8D0CB0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4D2C9194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41D9CC35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5B7BE73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3B631522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632E8A7F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0B841F7A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6B85007" w14:textId="77777777" w:rsidR="00581A47" w:rsidRPr="00C74546" w:rsidRDefault="00581A47" w:rsidP="00581A47">
      <w:pPr>
        <w:rPr>
          <w:b/>
          <w:i/>
          <w:sz w:val="22"/>
        </w:rPr>
      </w:pPr>
    </w:p>
    <w:p w14:paraId="47E30C09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6C5199E5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4A99C416" w14:textId="1046BB8B" w:rsidR="00581A47" w:rsidRPr="006F47BC" w:rsidRDefault="006F47BC" w:rsidP="00581A47">
      <w:pPr>
        <w:pStyle w:val="Tekstpodstawowy"/>
        <w:spacing w:line="276" w:lineRule="auto"/>
        <w:rPr>
          <w:b w:val="0"/>
          <w:sz w:val="22"/>
          <w:szCs w:val="22"/>
        </w:rPr>
      </w:pPr>
      <w:bookmarkStart w:id="0" w:name="_Hlk141789669"/>
      <w:r w:rsidRPr="006F47BC">
        <w:rPr>
          <w:sz w:val="22"/>
          <w:szCs w:val="22"/>
        </w:rPr>
        <w:t>dostaw</w:t>
      </w:r>
      <w:r>
        <w:rPr>
          <w:sz w:val="22"/>
          <w:szCs w:val="22"/>
        </w:rPr>
        <w:t>a</w:t>
      </w:r>
      <w:r w:rsidRPr="006F47BC">
        <w:rPr>
          <w:sz w:val="22"/>
          <w:szCs w:val="22"/>
        </w:rPr>
        <w:t xml:space="preserve"> licencji </w:t>
      </w:r>
      <w:r w:rsidRPr="006F47BC">
        <w:rPr>
          <w:bCs/>
          <w:sz w:val="22"/>
          <w:szCs w:val="22"/>
        </w:rPr>
        <w:t>Microsoft SQL Server</w:t>
      </w:r>
      <w:r w:rsidRPr="006F47BC">
        <w:rPr>
          <w:sz w:val="22"/>
          <w:szCs w:val="22"/>
        </w:rPr>
        <w:t xml:space="preserve"> 2022 </w:t>
      </w:r>
      <w:r w:rsidRPr="006F47BC">
        <w:rPr>
          <w:bCs/>
          <w:sz w:val="22"/>
          <w:szCs w:val="22"/>
        </w:rPr>
        <w:t xml:space="preserve">Standard ( 2 </w:t>
      </w:r>
      <w:proofErr w:type="spellStart"/>
      <w:r w:rsidRPr="006F47BC">
        <w:rPr>
          <w:bCs/>
          <w:sz w:val="22"/>
          <w:szCs w:val="22"/>
        </w:rPr>
        <w:t>core</w:t>
      </w:r>
      <w:proofErr w:type="spellEnd"/>
      <w:r w:rsidRPr="006F47BC">
        <w:rPr>
          <w:bCs/>
          <w:sz w:val="22"/>
          <w:szCs w:val="22"/>
        </w:rPr>
        <w:t>)  – 5 szt.</w:t>
      </w:r>
      <w:r w:rsidRPr="006F47BC">
        <w:rPr>
          <w:sz w:val="22"/>
          <w:szCs w:val="22"/>
        </w:rPr>
        <w:t xml:space="preserve"> lub licencji równoważnych</w:t>
      </w:r>
    </w:p>
    <w:bookmarkEnd w:id="0"/>
    <w:p w14:paraId="080461A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B22049A" w14:textId="77777777" w:rsidR="00581A47" w:rsidRPr="00C74546" w:rsidRDefault="00581A47" w:rsidP="00581A47">
      <w:pPr>
        <w:jc w:val="both"/>
        <w:rPr>
          <w:sz w:val="22"/>
        </w:rPr>
      </w:pPr>
    </w:p>
    <w:p w14:paraId="53175ABE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4200F9D9" w14:textId="77777777" w:rsidR="00581A47" w:rsidRPr="00C74546" w:rsidRDefault="00581A47" w:rsidP="00581A47">
      <w:pPr>
        <w:rPr>
          <w:sz w:val="22"/>
        </w:rPr>
      </w:pPr>
    </w:p>
    <w:p w14:paraId="3A7DD6F8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08ACB978" w14:textId="77777777" w:rsidR="00581A47" w:rsidRPr="00C74546" w:rsidRDefault="00581A47" w:rsidP="00581A47">
      <w:pPr>
        <w:rPr>
          <w:sz w:val="22"/>
        </w:rPr>
      </w:pPr>
    </w:p>
    <w:p w14:paraId="6553EE1C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5FE286E1" w14:textId="77777777" w:rsidR="00581A47" w:rsidRPr="00C74546" w:rsidRDefault="00581A47" w:rsidP="00581A47">
      <w:pPr>
        <w:jc w:val="both"/>
        <w:rPr>
          <w:sz w:val="22"/>
        </w:rPr>
      </w:pPr>
    </w:p>
    <w:p w14:paraId="105D565C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7C6BB1F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4E057AD7" w14:textId="77777777" w:rsidR="00581A47" w:rsidRPr="00C74546" w:rsidRDefault="00581A47" w:rsidP="00581A47">
      <w:pPr>
        <w:rPr>
          <w:sz w:val="22"/>
        </w:rPr>
      </w:pPr>
    </w:p>
    <w:p w14:paraId="7C8982B2" w14:textId="77777777" w:rsidR="00581A47" w:rsidRPr="00C74546" w:rsidRDefault="00581A47" w:rsidP="00581A47">
      <w:pPr>
        <w:rPr>
          <w:sz w:val="22"/>
        </w:rPr>
      </w:pPr>
    </w:p>
    <w:p w14:paraId="4267F494" w14:textId="77777777" w:rsidR="00581A47" w:rsidRPr="00C74546" w:rsidRDefault="00581A47" w:rsidP="00581A47">
      <w:pPr>
        <w:jc w:val="center"/>
        <w:rPr>
          <w:sz w:val="22"/>
        </w:rPr>
      </w:pPr>
    </w:p>
    <w:p w14:paraId="291EACCE" w14:textId="44876A3F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964814">
        <w:rPr>
          <w:sz w:val="22"/>
        </w:rPr>
        <w:t>3</w:t>
      </w:r>
    </w:p>
    <w:p w14:paraId="18D828E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37A656D3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5DB0E0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3C573B25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7984D600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7812BCDA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01E3E4F8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1ED3B59E" w14:textId="77777777" w:rsidR="00CA148F" w:rsidRPr="00C74546" w:rsidRDefault="00E4697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AEB38BB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CEC2F9A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3BEB26B3" w14:textId="20C5B78A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DE7FC6">
        <w:rPr>
          <w:b/>
          <w:bCs/>
          <w:sz w:val="22"/>
        </w:rPr>
        <w:t>.9</w:t>
      </w:r>
      <w:r w:rsidR="006F47BC">
        <w:rPr>
          <w:b/>
          <w:bCs/>
          <w:sz w:val="22"/>
        </w:rPr>
        <w:t>6</w:t>
      </w:r>
      <w:r w:rsidR="00AC25FC">
        <w:rPr>
          <w:b/>
          <w:bCs/>
          <w:sz w:val="22"/>
        </w:rPr>
        <w:t>.202</w:t>
      </w:r>
      <w:r w:rsidR="00DE7FC6">
        <w:rPr>
          <w:b/>
          <w:bCs/>
          <w:sz w:val="22"/>
        </w:rPr>
        <w:t>3</w:t>
      </w:r>
    </w:p>
    <w:p w14:paraId="47386F54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B13BC3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1F293805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B56D2B7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1CDE611E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A407CF0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3705D024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50EBD75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51871D2D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477721F0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405DBED1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76E2E77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08F98392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7392093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15A38B82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E2BC77A" w14:textId="04080CB4" w:rsidR="00D3327A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6F47BC">
        <w:rPr>
          <w:b w:val="0"/>
          <w:snapToGrid w:val="0"/>
          <w:sz w:val="22"/>
          <w:szCs w:val="22"/>
        </w:rPr>
        <w:t xml:space="preserve"> </w:t>
      </w:r>
      <w:r w:rsidR="006F47BC" w:rsidRPr="006F47BC">
        <w:rPr>
          <w:b w:val="0"/>
          <w:snapToGrid w:val="0"/>
          <w:sz w:val="22"/>
          <w:szCs w:val="22"/>
        </w:rPr>
        <w:t xml:space="preserve">dostawa licencji Microsoft SQL Server 2022 Standard </w:t>
      </w:r>
      <w:r w:rsidR="00E9530A">
        <w:rPr>
          <w:b w:val="0"/>
          <w:snapToGrid w:val="0"/>
          <w:sz w:val="22"/>
          <w:szCs w:val="22"/>
        </w:rPr>
        <w:t xml:space="preserve">               </w:t>
      </w:r>
      <w:r w:rsidR="006F47BC" w:rsidRPr="006F47BC">
        <w:rPr>
          <w:b w:val="0"/>
          <w:snapToGrid w:val="0"/>
          <w:sz w:val="22"/>
          <w:szCs w:val="22"/>
        </w:rPr>
        <w:t xml:space="preserve">( 2 </w:t>
      </w:r>
      <w:proofErr w:type="spellStart"/>
      <w:r w:rsidR="006F47BC" w:rsidRPr="006F47BC">
        <w:rPr>
          <w:b w:val="0"/>
          <w:snapToGrid w:val="0"/>
          <w:sz w:val="22"/>
          <w:szCs w:val="22"/>
        </w:rPr>
        <w:t>core</w:t>
      </w:r>
      <w:proofErr w:type="spellEnd"/>
      <w:r w:rsidR="006F47BC" w:rsidRPr="006F47BC">
        <w:rPr>
          <w:b w:val="0"/>
          <w:snapToGrid w:val="0"/>
          <w:sz w:val="22"/>
          <w:szCs w:val="22"/>
        </w:rPr>
        <w:t>)  – 5 szt. lub licencji równoważnych</w:t>
      </w:r>
      <w:r w:rsidR="00DE7FC6">
        <w:rPr>
          <w:b w:val="0"/>
          <w:snapToGrid w:val="0"/>
          <w:sz w:val="22"/>
          <w:szCs w:val="22"/>
        </w:rPr>
        <w:t>.</w:t>
      </w:r>
    </w:p>
    <w:p w14:paraId="30907793" w14:textId="5546788E"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DE7FC6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DE7FC6">
        <w:rPr>
          <w:b w:val="0"/>
          <w:snapToGrid w:val="0"/>
          <w:sz w:val="22"/>
          <w:szCs w:val="22"/>
        </w:rPr>
        <w:t xml:space="preserve"> SWZ.</w:t>
      </w:r>
    </w:p>
    <w:p w14:paraId="479D8972" w14:textId="64A0F6D5" w:rsidR="008B0AF5" w:rsidRPr="00DE7FC6" w:rsidRDefault="00D3327A" w:rsidP="00DE7FC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01AEB023" w14:textId="35E76FC4" w:rsidR="008B0AF5" w:rsidRPr="00DE7FC6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0AB78561" w14:textId="59393190" w:rsidR="00DE7FC6" w:rsidRPr="00C91D71" w:rsidRDefault="00DE7FC6" w:rsidP="00DE7FC6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>
        <w:rPr>
          <w:sz w:val="22"/>
        </w:rPr>
        <w:t>486</w:t>
      </w:r>
      <w:r w:rsidR="00E9530A">
        <w:rPr>
          <w:sz w:val="22"/>
        </w:rPr>
        <w:t>11000-4  Pakiety oprogramowania dla baz danych</w:t>
      </w:r>
    </w:p>
    <w:p w14:paraId="071B9427" w14:textId="1F62D4D0" w:rsidR="000758A8" w:rsidRDefault="008B0AF5" w:rsidP="00DE7FC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480F539D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0F0797C3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3155D2A2" w14:textId="77777777" w:rsidR="00FE0280" w:rsidRDefault="00FE0280" w:rsidP="00FE0280">
      <w:pPr>
        <w:spacing w:after="0"/>
        <w:ind w:left="708"/>
        <w:rPr>
          <w:sz w:val="22"/>
        </w:rPr>
      </w:pPr>
    </w:p>
    <w:p w14:paraId="447E4C92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C4C4DF6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D3BC06B" w14:textId="77777777" w:rsidR="00921F34" w:rsidRPr="00B42543" w:rsidRDefault="00921F34" w:rsidP="00B42543">
      <w:pPr>
        <w:ind w:firstLine="708"/>
        <w:rPr>
          <w:color w:val="000000"/>
          <w:sz w:val="22"/>
        </w:rPr>
      </w:pPr>
    </w:p>
    <w:p w14:paraId="38518EEE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2BE513EF" w14:textId="77777777" w:rsidR="00E402CB" w:rsidRDefault="00E402CB" w:rsidP="00A93E23">
      <w:pPr>
        <w:spacing w:after="0"/>
        <w:ind w:left="708"/>
        <w:rPr>
          <w:sz w:val="22"/>
        </w:rPr>
      </w:pPr>
    </w:p>
    <w:p w14:paraId="0E3A78A4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432E39F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52132FFA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45245C77" w14:textId="77777777" w:rsidR="00E402CB" w:rsidRDefault="00E402CB" w:rsidP="00B42543">
      <w:pPr>
        <w:spacing w:after="0"/>
        <w:ind w:left="708"/>
        <w:rPr>
          <w:sz w:val="22"/>
        </w:rPr>
      </w:pPr>
    </w:p>
    <w:p w14:paraId="1EFC287C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AA9DC10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53212130" w14:textId="77777777"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14:paraId="390301E9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436D0875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8EA4EEA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FE23BC0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7AC82F8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7029323E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7795FAB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5819BD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7CE00973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9D77DE9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B06144F" w14:textId="77777777" w:rsidR="00066F60" w:rsidRDefault="00066F60" w:rsidP="00066F60">
      <w:pPr>
        <w:pStyle w:val="Akapitzlist"/>
        <w:rPr>
          <w:sz w:val="22"/>
        </w:rPr>
      </w:pPr>
    </w:p>
    <w:p w14:paraId="5345EB2C" w14:textId="5F76D1D7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DE7FC6">
        <w:rPr>
          <w:sz w:val="22"/>
        </w:rPr>
        <w:t>10 dni roboczych od  dnia zawarcia umowy.</w:t>
      </w:r>
    </w:p>
    <w:p w14:paraId="3C5BD3F9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9DFBAE5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0711A8F4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B8B503D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3A920575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EE8366B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7D7C6356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27FBCA7D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0193D4C9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F56DF6A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2C5A86B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53DAFE14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13522853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51E1B09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A3FC8A0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5C00781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190B0B21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7B6BA7E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81D54E2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384E252A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8F4858A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47B3CB56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78C71AA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1F17547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672CFB8F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43BB83D3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0BBD1E8E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7149EC73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3C00E0D4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08BDF1F8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79F87F79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4D3F30A1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0C396B14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lastRenderedPageBreak/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11CDA8E6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19D52FBC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2951145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4BC452F7" w14:textId="77777777"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14:paraId="45AFB1D6" w14:textId="77777777"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2DCF0E6C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B6918DA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09EB5850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24A7A4F2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E6F8E03" w14:textId="77777777"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14:paraId="159D7495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548E37D1" w14:textId="77777777" w:rsidR="003F2F74" w:rsidRDefault="003F2F74" w:rsidP="003F2F74">
      <w:pPr>
        <w:pStyle w:val="Akapitzlist"/>
        <w:rPr>
          <w:b/>
          <w:sz w:val="22"/>
        </w:rPr>
      </w:pPr>
    </w:p>
    <w:p w14:paraId="6F0035E6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7620A4C0" w14:textId="77777777"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5D5D3EAD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5D3A6676" w14:textId="77777777" w:rsidR="0064583B" w:rsidRPr="00102A09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2479A120" w14:textId="77777777"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926FD72" w14:textId="77777777"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 xml:space="preserve">powaniu o </w:t>
      </w:r>
      <w:r w:rsidR="00754F95" w:rsidRPr="00E1439E">
        <w:rPr>
          <w:color w:val="000000" w:themeColor="text1"/>
          <w:sz w:val="22"/>
        </w:rPr>
        <w:lastRenderedPageBreak/>
        <w:t>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17D600C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7E92153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15B01BC3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2025BA92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2732564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129A8DD8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4E405715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1559A2A3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2AC1112C" w14:textId="41755BD0" w:rsidR="00A803EE" w:rsidRPr="0064583B" w:rsidRDefault="00A803EE" w:rsidP="003F0504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DE7FC6">
        <w:rPr>
          <w:color w:val="000000" w:themeColor="text1"/>
          <w:sz w:val="22"/>
        </w:rPr>
        <w:t>Ewa Klimczak</w:t>
      </w:r>
      <w:r w:rsidR="0064583B" w:rsidRPr="0064583B">
        <w:rPr>
          <w:color w:val="000000" w:themeColor="text1"/>
          <w:sz w:val="22"/>
        </w:rPr>
        <w:t xml:space="preserve">, tel. </w:t>
      </w:r>
      <w:r w:rsidR="00DE7FC6">
        <w:rPr>
          <w:color w:val="000000" w:themeColor="text1"/>
          <w:sz w:val="22"/>
        </w:rPr>
        <w:t>89 52 19 845.</w:t>
      </w:r>
    </w:p>
    <w:p w14:paraId="4BBC832D" w14:textId="77777777" w:rsidR="0064583B" w:rsidRPr="0064583B" w:rsidRDefault="0064583B" w:rsidP="003F0504">
      <w:pPr>
        <w:pStyle w:val="Akapitzlist"/>
        <w:numPr>
          <w:ilvl w:val="0"/>
          <w:numId w:val="3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1A01260C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391D65E3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37DA92E7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57426ECD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60B1CA71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1FB037C8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4658A841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2A399CF" w14:textId="77777777" w:rsidR="00DE7FC6" w:rsidRDefault="00D807B0" w:rsidP="00FB667A">
      <w:pPr>
        <w:spacing w:after="0" w:line="360" w:lineRule="auto"/>
        <w:ind w:left="708" w:firstLine="12"/>
        <w:jc w:val="both"/>
        <w:rPr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</w:p>
    <w:p w14:paraId="523BB315" w14:textId="0A140741" w:rsidR="00D807B0" w:rsidRDefault="00E52208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28.09.2023 r.</w:t>
      </w:r>
      <w:r w:rsidR="009274E9">
        <w:rPr>
          <w:b/>
          <w:color w:val="000000"/>
          <w:sz w:val="22"/>
        </w:rPr>
        <w:t xml:space="preserve"> </w:t>
      </w:r>
    </w:p>
    <w:p w14:paraId="575214EE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02F9C24F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42A00DFE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11459315" w14:textId="77777777"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352853E3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6726FB56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5D850435" w14:textId="77777777"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52FF49A8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6B99B28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3982214D" w14:textId="7EDE9F6A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DE7FC6">
        <w:rPr>
          <w:color w:val="000000"/>
          <w:sz w:val="22"/>
          <w:szCs w:val="22"/>
        </w:rPr>
        <w:t>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504463A9" w14:textId="77777777" w:rsidR="003366C6" w:rsidRPr="00F433A4" w:rsidRDefault="003366C6" w:rsidP="003366C6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14:paraId="6AB01851" w14:textId="6D954D11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Załącznik nr </w:t>
      </w:r>
      <w:r w:rsidR="00DE7FC6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14:paraId="40504F7A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6405CEA4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DD542D1" w14:textId="13BA83E2" w:rsidR="00AF0905" w:rsidRPr="00D536A9" w:rsidRDefault="00AF0905" w:rsidP="00CE6AAD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14:paraId="09713295" w14:textId="77777777"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56AE2BC2" w14:textId="75622E92"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14:paraId="72D1A311" w14:textId="77777777"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6F69AB19" w14:textId="77777777"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</w:t>
      </w:r>
      <w:r w:rsidRPr="00AC47A6">
        <w:rPr>
          <w:color w:val="000000"/>
          <w:sz w:val="22"/>
        </w:rPr>
        <w:lastRenderedPageBreak/>
        <w:t xml:space="preserve">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43D5DBE3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7E616C67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7A889C8E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65EAFE93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03354B83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2E9E889A" w14:textId="77777777"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12EB55A4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694128F3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03CCF136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684E4C8D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1EDBB64F" w14:textId="77777777" w:rsidR="00A10AEA" w:rsidRPr="00A10AEA" w:rsidRDefault="00E97EBB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DEDBC8E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546774D8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FFA539E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6166A35F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39965E96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58B7699F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0F5BDD65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52491CFE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59EA2A0B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075BC5CF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66C0598F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7C38A819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2495CF87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22473F0B" w14:textId="77777777"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224A4A09" w14:textId="77777777"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1707083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3D33B17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598EA6AA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509CA245" w14:textId="77777777"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240A1B18" w14:textId="027C8EFC"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155334">
        <w:rPr>
          <w:b/>
          <w:color w:val="0000FF"/>
          <w:sz w:val="22"/>
          <w:szCs w:val="22"/>
        </w:rPr>
        <w:t>30.08.</w:t>
      </w:r>
      <w:r w:rsidR="007C5247">
        <w:rPr>
          <w:b/>
          <w:color w:val="0000FF"/>
          <w:sz w:val="22"/>
          <w:szCs w:val="22"/>
        </w:rPr>
        <w:t>202</w:t>
      </w:r>
      <w:r w:rsidR="00DE7FC6">
        <w:rPr>
          <w:b/>
          <w:color w:val="0000FF"/>
          <w:sz w:val="22"/>
          <w:szCs w:val="22"/>
        </w:rPr>
        <w:t>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32BE1C05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245BD6A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8805DEF" w14:textId="77777777"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3FA045CF" w14:textId="77777777"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02A2E195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lastRenderedPageBreak/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DB4BA44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95A91D4" w14:textId="77777777"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02995BAB" w14:textId="77777777"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505E66F1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0A011C1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7D600AA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57E454A5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6D902471" w14:textId="77777777"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4DD2EF79" w14:textId="77777777"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039C881" w14:textId="77777777"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3CDC4A5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77FDC83A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5DF7548D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738C3F" w14:textId="12B2E210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155334" w:rsidRPr="00155334">
        <w:rPr>
          <w:b/>
          <w:bCs/>
          <w:color w:val="0000FF"/>
          <w:sz w:val="22"/>
        </w:rPr>
        <w:t>30.08.</w:t>
      </w:r>
      <w:r w:rsidR="007C5247">
        <w:rPr>
          <w:b/>
          <w:color w:val="0000FF"/>
          <w:sz w:val="22"/>
        </w:rPr>
        <w:t>202</w:t>
      </w:r>
      <w:r w:rsidR="00DE7FC6">
        <w:rPr>
          <w:b/>
          <w:color w:val="0000FF"/>
          <w:sz w:val="22"/>
        </w:rPr>
        <w:t>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DE7FC6">
        <w:rPr>
          <w:b/>
          <w:color w:val="0000FF"/>
          <w:sz w:val="22"/>
        </w:rPr>
        <w:t>10:10.</w:t>
      </w:r>
    </w:p>
    <w:p w14:paraId="0FD843BA" w14:textId="77777777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76AAED57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16601A58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7FDF5FA2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3764B680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2DBA0EAA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55D15225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5A492CBB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4445F33A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4A90C41F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2EC0C11D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33BD45EF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F30B7D7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61AA9B7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91A6C8E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35C3855D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5F35DD86" w14:textId="5373A2D1" w:rsidR="00DE7FC6" w:rsidRPr="00A703F5" w:rsidRDefault="00DE7FC6" w:rsidP="00DE7FC6">
      <w:pPr>
        <w:ind w:left="708"/>
        <w:rPr>
          <w:sz w:val="22"/>
        </w:rPr>
      </w:pPr>
      <w:r>
        <w:rPr>
          <w:sz w:val="22"/>
        </w:rPr>
        <w:t xml:space="preserve">1. </w:t>
      </w:r>
      <w:r w:rsidRPr="00A703F5">
        <w:rPr>
          <w:sz w:val="22"/>
        </w:rPr>
        <w:t>Kryteria wyboru oferty i ich znaczenie :</w:t>
      </w:r>
    </w:p>
    <w:p w14:paraId="3080423C" w14:textId="77777777" w:rsidR="00DE7FC6" w:rsidRPr="00A703F5" w:rsidRDefault="00DE7FC6" w:rsidP="00DE7FC6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4379C87F" w14:textId="4E82B045" w:rsidR="00DE7FC6" w:rsidRDefault="00DE7FC6" w:rsidP="00DE7FC6">
      <w:pPr>
        <w:ind w:left="851" w:hanging="143"/>
        <w:rPr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70B90">
        <w:rPr>
          <w:b/>
          <w:color w:val="000000"/>
          <w:sz w:val="22"/>
        </w:rPr>
        <w:t>2)</w:t>
      </w:r>
      <w:r w:rsidRPr="00A703F5">
        <w:rPr>
          <w:color w:val="000000"/>
          <w:sz w:val="22"/>
        </w:rPr>
        <w:t xml:space="preserve"> </w:t>
      </w:r>
      <w:r w:rsidRPr="00670B90">
        <w:rPr>
          <w:b/>
          <w:color w:val="000000"/>
          <w:sz w:val="22"/>
        </w:rPr>
        <w:t>Termin dostawy</w:t>
      </w:r>
      <w:r w:rsidRPr="00670B90">
        <w:rPr>
          <w:color w:val="000000"/>
          <w:sz w:val="22"/>
        </w:rPr>
        <w:t xml:space="preserve"> – znaczenie kryterium – 40 %</w:t>
      </w:r>
    </w:p>
    <w:p w14:paraId="06B121BC" w14:textId="5467D488" w:rsidR="00DE7FC6" w:rsidRDefault="00DE7FC6" w:rsidP="00DE7FC6">
      <w:pPr>
        <w:ind w:left="851" w:hanging="143"/>
        <w:rPr>
          <w:color w:val="000000"/>
          <w:sz w:val="22"/>
        </w:rPr>
      </w:pPr>
    </w:p>
    <w:p w14:paraId="2E5137D4" w14:textId="77777777" w:rsidR="00DE7FC6" w:rsidRDefault="00DE7FC6" w:rsidP="00DE7FC6">
      <w:pPr>
        <w:ind w:left="851" w:hanging="143"/>
        <w:rPr>
          <w:color w:val="000000"/>
          <w:sz w:val="22"/>
        </w:rPr>
      </w:pPr>
    </w:p>
    <w:p w14:paraId="320D7BAA" w14:textId="10C9DA52" w:rsidR="00DE7FC6" w:rsidRPr="00DE7FC6" w:rsidRDefault="00DE7FC6" w:rsidP="00DE7FC6">
      <w:pPr>
        <w:shd w:val="clear" w:color="auto" w:fill="FFFFFF"/>
        <w:spacing w:after="0"/>
        <w:ind w:left="993" w:hanging="284"/>
        <w:jc w:val="both"/>
        <w:rPr>
          <w:rFonts w:eastAsia="Calibri"/>
          <w:sz w:val="22"/>
        </w:rPr>
      </w:pPr>
      <w:r>
        <w:rPr>
          <w:rFonts w:eastAsia="Calibri"/>
          <w:bCs/>
          <w:sz w:val="22"/>
        </w:rPr>
        <w:lastRenderedPageBreak/>
        <w:t xml:space="preserve">2. </w:t>
      </w:r>
      <w:r w:rsidRPr="00DE7FC6">
        <w:rPr>
          <w:rFonts w:eastAsia="Calibri"/>
          <w:bCs/>
          <w:sz w:val="22"/>
        </w:rPr>
        <w:t>Sposób oceny oferty:</w:t>
      </w:r>
    </w:p>
    <w:p w14:paraId="4A4E0631" w14:textId="77777777" w:rsidR="00DE7FC6" w:rsidRPr="00A703F5" w:rsidRDefault="00DE7FC6" w:rsidP="00DE7FC6">
      <w:pPr>
        <w:numPr>
          <w:ilvl w:val="0"/>
          <w:numId w:val="15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2E50730C" w14:textId="77777777" w:rsidR="00DE7FC6" w:rsidRPr="00A703F5" w:rsidRDefault="00DE7FC6" w:rsidP="00DE7FC6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5F5A66C1" w14:textId="77777777" w:rsidR="00DE7FC6" w:rsidRPr="007C7DF2" w:rsidRDefault="00DE7FC6" w:rsidP="00DE7FC6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2A24DA53" w14:textId="77777777" w:rsidR="00DE7FC6" w:rsidRPr="007C7DF2" w:rsidRDefault="00DE7FC6" w:rsidP="00DE7FC6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62D85E51" w14:textId="77777777" w:rsidR="00DE7FC6" w:rsidRPr="007C7DF2" w:rsidRDefault="00DE7FC6" w:rsidP="00DE7FC6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21A74429" w14:textId="77777777" w:rsidR="00DE7FC6" w:rsidRDefault="00DE7FC6" w:rsidP="00DE7FC6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28EEA09A" w14:textId="77777777" w:rsidR="00DE7FC6" w:rsidRPr="00670B90" w:rsidRDefault="00DE7FC6" w:rsidP="00DE7FC6">
      <w:pPr>
        <w:numPr>
          <w:ilvl w:val="0"/>
          <w:numId w:val="15"/>
        </w:numPr>
        <w:spacing w:after="0"/>
        <w:ind w:left="993" w:hanging="284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Termin dostawy</w:t>
      </w:r>
      <w:r w:rsidRPr="00A703F5">
        <w:rPr>
          <w:b/>
          <w:sz w:val="22"/>
          <w:lang w:val="cs-CZ" w:eastAsia="en-US"/>
        </w:rPr>
        <w:t>:</w:t>
      </w:r>
    </w:p>
    <w:p w14:paraId="7AE794F0" w14:textId="77777777" w:rsidR="00DE7FC6" w:rsidRDefault="00DE7FC6" w:rsidP="00DE7FC6">
      <w:pPr>
        <w:spacing w:after="0"/>
        <w:ind w:left="1248"/>
        <w:rPr>
          <w:b/>
          <w:sz w:val="22"/>
          <w:lang w:val="cs-CZ" w:eastAsia="en-US"/>
        </w:rPr>
      </w:pPr>
    </w:p>
    <w:p w14:paraId="2149C834" w14:textId="77777777" w:rsidR="00DE7FC6" w:rsidRDefault="00DE7FC6" w:rsidP="00DE7FC6">
      <w:pPr>
        <w:pStyle w:val="Akapitzlist"/>
        <w:numPr>
          <w:ilvl w:val="2"/>
          <w:numId w:val="53"/>
        </w:numPr>
        <w:tabs>
          <w:tab w:val="left" w:pos="284"/>
        </w:tabs>
        <w:spacing w:after="0"/>
        <w:ind w:left="851" w:hanging="284"/>
        <w:jc w:val="both"/>
        <w:rPr>
          <w:rFonts w:eastAsia="Cambria"/>
          <w:sz w:val="22"/>
          <w:lang w:eastAsia="en-US"/>
        </w:rPr>
      </w:pPr>
      <w:r w:rsidRPr="00166FFC">
        <w:rPr>
          <w:rFonts w:eastAsia="Cambria"/>
          <w:sz w:val="22"/>
          <w:lang w:eastAsia="en-US"/>
        </w:rPr>
        <w:t>W kryterium</w:t>
      </w:r>
      <w:r w:rsidRPr="00166FFC">
        <w:rPr>
          <w:rFonts w:eastAsia="Cambria"/>
          <w:b/>
          <w:sz w:val="22"/>
          <w:lang w:eastAsia="en-US"/>
        </w:rPr>
        <w:t xml:space="preserve"> - </w:t>
      </w:r>
      <w:r w:rsidRPr="00166FFC">
        <w:rPr>
          <w:rFonts w:eastAsia="Cambria"/>
          <w:sz w:val="22"/>
          <w:lang w:eastAsia="en-US"/>
        </w:rPr>
        <w:t>Termin dostawy</w:t>
      </w:r>
      <w:r w:rsidRPr="00166FFC">
        <w:rPr>
          <w:rFonts w:eastAsia="Cambria"/>
          <w:b/>
          <w:sz w:val="22"/>
          <w:lang w:eastAsia="en-US"/>
        </w:rPr>
        <w:t xml:space="preserve"> - </w:t>
      </w:r>
      <w:r w:rsidRPr="00166FFC">
        <w:rPr>
          <w:sz w:val="22"/>
          <w:lang w:eastAsia="en-US"/>
        </w:rPr>
        <w:t xml:space="preserve">ocenie będzie podlegać liczba dni roboczych, o jaką Wykonawca skróci </w:t>
      </w:r>
      <w:r>
        <w:rPr>
          <w:sz w:val="22"/>
          <w:lang w:eastAsia="en-US"/>
        </w:rPr>
        <w:t>10</w:t>
      </w:r>
      <w:r w:rsidRPr="00166FFC">
        <w:rPr>
          <w:sz w:val="22"/>
          <w:lang w:eastAsia="en-US"/>
        </w:rPr>
        <w:t xml:space="preserve">-dniowy </w:t>
      </w:r>
      <w:r w:rsidRPr="00166FFC">
        <w:rPr>
          <w:rFonts w:eastAsia="Cambria"/>
          <w:sz w:val="22"/>
          <w:lang w:eastAsia="en-US"/>
        </w:rPr>
        <w:t>termin dostawy  zamówienia, liczony od dnia zawarcia umowy.</w:t>
      </w:r>
    </w:p>
    <w:p w14:paraId="26924709" w14:textId="77777777" w:rsidR="00DE7FC6" w:rsidRPr="00166FFC" w:rsidRDefault="00DE7FC6" w:rsidP="00DE7FC6">
      <w:pPr>
        <w:pStyle w:val="Akapitzlist"/>
        <w:numPr>
          <w:ilvl w:val="2"/>
          <w:numId w:val="53"/>
        </w:numPr>
        <w:tabs>
          <w:tab w:val="left" w:pos="284"/>
        </w:tabs>
        <w:spacing w:after="0"/>
        <w:ind w:left="851" w:hanging="284"/>
        <w:jc w:val="both"/>
        <w:rPr>
          <w:rFonts w:eastAsia="Cambria"/>
          <w:sz w:val="22"/>
          <w:lang w:eastAsia="en-US"/>
        </w:rPr>
      </w:pPr>
      <w:r w:rsidRPr="00166FFC">
        <w:rPr>
          <w:sz w:val="22"/>
        </w:rPr>
        <w:t>Ocena ofert w zakresie tego kryterium zostanie dokonana w oparciu o dane zamieszczone w ofercie Wykonawcy</w:t>
      </w:r>
      <w:r w:rsidRPr="00166FFC">
        <w:rPr>
          <w:bCs/>
          <w:sz w:val="22"/>
        </w:rPr>
        <w:t xml:space="preserve">. </w:t>
      </w:r>
    </w:p>
    <w:p w14:paraId="54BBFD6F" w14:textId="77777777" w:rsidR="00DE7FC6" w:rsidRDefault="00DE7FC6" w:rsidP="00DE7FC6">
      <w:pPr>
        <w:pStyle w:val="Akapitzlist"/>
        <w:numPr>
          <w:ilvl w:val="2"/>
          <w:numId w:val="53"/>
        </w:numPr>
        <w:tabs>
          <w:tab w:val="left" w:pos="284"/>
        </w:tabs>
        <w:spacing w:after="0"/>
        <w:ind w:left="851" w:hanging="284"/>
        <w:jc w:val="both"/>
        <w:rPr>
          <w:rFonts w:eastAsia="Cambria"/>
          <w:sz w:val="22"/>
          <w:lang w:eastAsia="en-US"/>
        </w:rPr>
      </w:pPr>
      <w:r w:rsidRPr="00166FFC">
        <w:rPr>
          <w:rFonts w:eastAsia="Cambria"/>
          <w:sz w:val="22"/>
          <w:lang w:eastAsia="en-US"/>
        </w:rPr>
        <w:t xml:space="preserve">Maksymalny termin skrócenia terminu </w:t>
      </w:r>
      <w:r>
        <w:rPr>
          <w:rFonts w:eastAsia="Cambria"/>
          <w:sz w:val="22"/>
          <w:lang w:eastAsia="en-US"/>
        </w:rPr>
        <w:t>dostawy</w:t>
      </w:r>
      <w:r w:rsidRPr="00166FFC">
        <w:rPr>
          <w:rFonts w:eastAsia="Cambria"/>
          <w:sz w:val="22"/>
          <w:lang w:eastAsia="en-US"/>
        </w:rPr>
        <w:t>, podlegający ocenie, wynosi 5 dni roboczych.</w:t>
      </w:r>
    </w:p>
    <w:p w14:paraId="4AF66B02" w14:textId="77777777" w:rsidR="00DE7FC6" w:rsidRDefault="00DE7FC6" w:rsidP="00DE7FC6">
      <w:pPr>
        <w:pStyle w:val="Akapitzlist"/>
        <w:tabs>
          <w:tab w:val="left" w:pos="284"/>
        </w:tabs>
        <w:spacing w:after="0"/>
        <w:ind w:left="851"/>
        <w:jc w:val="both"/>
        <w:rPr>
          <w:rFonts w:eastAsia="Cambria"/>
          <w:sz w:val="22"/>
          <w:lang w:eastAsia="en-US"/>
        </w:rPr>
      </w:pPr>
    </w:p>
    <w:p w14:paraId="6A7403D7" w14:textId="77777777" w:rsidR="00DE7FC6" w:rsidRPr="00F6260C" w:rsidRDefault="00DE7FC6" w:rsidP="00DE7FC6">
      <w:pPr>
        <w:pStyle w:val="Akapitzlist"/>
        <w:numPr>
          <w:ilvl w:val="2"/>
          <w:numId w:val="53"/>
        </w:numPr>
        <w:tabs>
          <w:tab w:val="left" w:pos="284"/>
        </w:tabs>
        <w:spacing w:after="0"/>
        <w:ind w:left="851" w:hanging="284"/>
        <w:jc w:val="both"/>
        <w:rPr>
          <w:rFonts w:eastAsia="Cambria"/>
          <w:sz w:val="22"/>
          <w:lang w:eastAsia="en-US"/>
        </w:rPr>
      </w:pPr>
      <w:r w:rsidRPr="00166FFC">
        <w:rPr>
          <w:color w:val="000000"/>
          <w:sz w:val="22"/>
          <w:lang w:val="cs-CZ" w:eastAsia="en-US"/>
        </w:rPr>
        <w:t>Punkty w tym kryterium obliczone zostaną według wzoru:</w:t>
      </w:r>
    </w:p>
    <w:p w14:paraId="7FC44052" w14:textId="77777777" w:rsidR="00DE7FC6" w:rsidRPr="00F6260C" w:rsidRDefault="00DE7FC6" w:rsidP="00DE7FC6">
      <w:pPr>
        <w:pStyle w:val="Akapitzlist"/>
        <w:rPr>
          <w:rFonts w:eastAsia="Cambria"/>
          <w:sz w:val="22"/>
          <w:lang w:eastAsia="en-US"/>
        </w:rPr>
      </w:pPr>
    </w:p>
    <w:p w14:paraId="26E4753D" w14:textId="77777777" w:rsidR="00DE7FC6" w:rsidRPr="00166FFC" w:rsidRDefault="00DE7FC6" w:rsidP="00DE7FC6">
      <w:pPr>
        <w:pStyle w:val="Akapitzlist"/>
        <w:tabs>
          <w:tab w:val="left" w:pos="284"/>
        </w:tabs>
        <w:spacing w:after="0"/>
        <w:ind w:left="851"/>
        <w:jc w:val="both"/>
        <w:rPr>
          <w:rFonts w:eastAsia="Cambria"/>
          <w:sz w:val="22"/>
          <w:lang w:eastAsia="en-US"/>
        </w:rPr>
      </w:pPr>
    </w:p>
    <w:p w14:paraId="25726AEC" w14:textId="77777777" w:rsidR="00DE7FC6" w:rsidRPr="00670B90" w:rsidRDefault="00DE7FC6" w:rsidP="00DE7FC6">
      <w:pPr>
        <w:suppressAutoHyphens/>
        <w:spacing w:after="0"/>
        <w:ind w:left="567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            </w:t>
      </w:r>
      <w:r w:rsidRPr="00670B90">
        <w:rPr>
          <w:sz w:val="22"/>
          <w:lang w:val="x-none" w:eastAsia="ar-SA"/>
        </w:rPr>
        <w:t xml:space="preserve">liczba dni skracających termin </w:t>
      </w:r>
      <w:r>
        <w:rPr>
          <w:sz w:val="22"/>
          <w:lang w:eastAsia="ar-SA"/>
        </w:rPr>
        <w:t xml:space="preserve">dostawy </w:t>
      </w:r>
      <w:r w:rsidRPr="00670B90">
        <w:rPr>
          <w:sz w:val="22"/>
          <w:lang w:eastAsia="ar-SA"/>
        </w:rPr>
        <w:t xml:space="preserve">badanej </w:t>
      </w:r>
      <w:r w:rsidRPr="00670B90">
        <w:rPr>
          <w:sz w:val="22"/>
          <w:lang w:val="x-none" w:eastAsia="ar-SA"/>
        </w:rPr>
        <w:t xml:space="preserve"> ofer</w:t>
      </w:r>
      <w:r w:rsidRPr="00670B90">
        <w:rPr>
          <w:sz w:val="22"/>
          <w:lang w:eastAsia="ar-SA"/>
        </w:rPr>
        <w:t>ty</w:t>
      </w:r>
    </w:p>
    <w:p w14:paraId="317C9755" w14:textId="77777777" w:rsidR="00DE7FC6" w:rsidRPr="00670B90" w:rsidRDefault="00DE7FC6" w:rsidP="00DE7FC6">
      <w:pPr>
        <w:suppressAutoHyphens/>
        <w:ind w:left="851"/>
        <w:rPr>
          <w:sz w:val="22"/>
          <w:lang w:eastAsia="ar-SA"/>
        </w:rPr>
      </w:pPr>
      <w:r w:rsidRPr="00670B90">
        <w:rPr>
          <w:sz w:val="22"/>
          <w:lang w:eastAsia="ar-SA"/>
        </w:rPr>
        <w:t xml:space="preserve">liczba uzyskanych punktów = </w:t>
      </w:r>
      <w:r w:rsidRPr="00670B90">
        <w:rPr>
          <w:color w:val="000000"/>
          <w:sz w:val="22"/>
          <w:lang w:eastAsia="ar-SA"/>
        </w:rPr>
        <w:t>------------------------------</w:t>
      </w:r>
      <w:r>
        <w:rPr>
          <w:color w:val="000000"/>
          <w:sz w:val="22"/>
          <w:lang w:eastAsia="ar-SA"/>
        </w:rPr>
        <w:t>---------</w:t>
      </w:r>
      <w:r w:rsidRPr="00670B90">
        <w:rPr>
          <w:color w:val="000000"/>
          <w:sz w:val="22"/>
          <w:lang w:eastAsia="ar-SA"/>
        </w:rPr>
        <w:t xml:space="preserve">------------------------------ </w:t>
      </w:r>
      <w:r w:rsidRPr="00670B90">
        <w:rPr>
          <w:sz w:val="22"/>
          <w:lang w:eastAsia="ar-SA"/>
        </w:rPr>
        <w:t>x 40</w:t>
      </w:r>
    </w:p>
    <w:p w14:paraId="13C6692E" w14:textId="77777777" w:rsidR="00DE7FC6" w:rsidRPr="00670B90" w:rsidRDefault="00DE7FC6" w:rsidP="00DE7FC6">
      <w:pPr>
        <w:suppressAutoHyphens/>
        <w:ind w:left="1843" w:hanging="992"/>
        <w:jc w:val="center"/>
        <w:rPr>
          <w:sz w:val="22"/>
          <w:lang w:eastAsia="ar-SA"/>
        </w:rPr>
      </w:pPr>
      <w:r w:rsidRPr="00670B90">
        <w:rPr>
          <w:sz w:val="22"/>
          <w:lang w:eastAsia="ar-SA"/>
        </w:rPr>
        <w:t xml:space="preserve">            </w:t>
      </w:r>
      <w:r>
        <w:rPr>
          <w:sz w:val="22"/>
          <w:lang w:eastAsia="ar-SA"/>
        </w:rPr>
        <w:t xml:space="preserve">                    </w:t>
      </w:r>
      <w:r w:rsidRPr="00670B90">
        <w:rPr>
          <w:sz w:val="22"/>
          <w:lang w:eastAsia="ar-SA"/>
        </w:rPr>
        <w:t xml:space="preserve"> najwyższa liczba dni </w:t>
      </w:r>
      <w:r w:rsidRPr="00670B90">
        <w:rPr>
          <w:sz w:val="22"/>
          <w:lang w:val="x-none" w:eastAsia="ar-SA"/>
        </w:rPr>
        <w:t xml:space="preserve">skracających termin </w:t>
      </w:r>
      <w:r>
        <w:rPr>
          <w:sz w:val="22"/>
          <w:lang w:eastAsia="ar-SA"/>
        </w:rPr>
        <w:t>dostawy                                      s</w:t>
      </w:r>
      <w:r w:rsidRPr="00670B90">
        <w:rPr>
          <w:sz w:val="22"/>
          <w:lang w:eastAsia="ar-SA"/>
        </w:rPr>
        <w:t>pośród badanych ofert</w:t>
      </w:r>
    </w:p>
    <w:p w14:paraId="3DBDC042" w14:textId="77777777" w:rsidR="00DE7FC6" w:rsidRPr="00670B90" w:rsidRDefault="00DE7FC6" w:rsidP="00DE7FC6">
      <w:pPr>
        <w:suppressAutoHyphens/>
        <w:ind w:left="851"/>
        <w:rPr>
          <w:b/>
          <w:sz w:val="22"/>
          <w:lang w:eastAsia="ar-SA"/>
        </w:rPr>
      </w:pPr>
    </w:p>
    <w:p w14:paraId="338586CF" w14:textId="77777777" w:rsidR="00DE7FC6" w:rsidRPr="00670B90" w:rsidRDefault="00DE7FC6" w:rsidP="00E9530A">
      <w:pPr>
        <w:suppressAutoHyphens/>
        <w:ind w:left="851"/>
        <w:jc w:val="both"/>
        <w:rPr>
          <w:sz w:val="22"/>
          <w:lang w:eastAsia="ar-SA"/>
        </w:rPr>
      </w:pPr>
      <w:r w:rsidRPr="00670B90">
        <w:rPr>
          <w:color w:val="000000"/>
          <w:sz w:val="22"/>
          <w:lang w:eastAsia="ar-SA"/>
        </w:rPr>
        <w:t>Wynik działania zostanie  zaokrąglony do 2 miejsc po przecinku,</w:t>
      </w:r>
      <w:r w:rsidRPr="00670B90">
        <w:rPr>
          <w:sz w:val="22"/>
          <w:lang w:eastAsia="ar-SA"/>
        </w:rPr>
        <w:t xml:space="preserve"> maksymalna liczba punktów jaką można uzyskać – 40.</w:t>
      </w:r>
    </w:p>
    <w:p w14:paraId="24917D15" w14:textId="77777777" w:rsidR="00DE7FC6" w:rsidRPr="00166FFC" w:rsidRDefault="00DE7FC6" w:rsidP="00E9530A">
      <w:pPr>
        <w:pStyle w:val="Akapitzlist"/>
        <w:numPr>
          <w:ilvl w:val="2"/>
          <w:numId w:val="53"/>
        </w:numPr>
        <w:suppressAutoHyphens/>
        <w:spacing w:line="360" w:lineRule="auto"/>
        <w:ind w:left="851" w:hanging="284"/>
        <w:jc w:val="both"/>
        <w:rPr>
          <w:sz w:val="22"/>
          <w:lang w:eastAsia="ar-SA"/>
        </w:rPr>
      </w:pPr>
      <w:r w:rsidRPr="00166FFC">
        <w:rPr>
          <w:color w:val="000000"/>
          <w:sz w:val="22"/>
          <w:lang w:eastAsia="en-US"/>
        </w:rPr>
        <w:t>Jeżeli Wykonawca w ofercie nie zaoferuje skrócenia terminu dostawy, jego oferta w powyższym kryterium otrzyma 0 punktów bez podstawiania do wzoru.</w:t>
      </w:r>
    </w:p>
    <w:p w14:paraId="7C7845D9" w14:textId="77777777" w:rsidR="00DE7FC6" w:rsidRPr="00166FFC" w:rsidRDefault="00DE7FC6" w:rsidP="00E9530A">
      <w:pPr>
        <w:pStyle w:val="Akapitzlist"/>
        <w:numPr>
          <w:ilvl w:val="2"/>
          <w:numId w:val="53"/>
        </w:numPr>
        <w:suppressAutoHyphens/>
        <w:spacing w:line="360" w:lineRule="auto"/>
        <w:ind w:left="851" w:hanging="284"/>
        <w:jc w:val="both"/>
        <w:rPr>
          <w:sz w:val="22"/>
          <w:lang w:eastAsia="ar-SA"/>
        </w:rPr>
      </w:pPr>
      <w:r w:rsidRPr="00166FFC">
        <w:rPr>
          <w:color w:val="000000"/>
          <w:sz w:val="22"/>
          <w:lang w:eastAsia="en-US"/>
        </w:rPr>
        <w:t xml:space="preserve">W przypadku, gdy Wykonawca zaoferuje skrócenie 10-dniowego terminu </w:t>
      </w:r>
      <w:r>
        <w:rPr>
          <w:color w:val="000000"/>
          <w:sz w:val="22"/>
          <w:lang w:eastAsia="en-US"/>
        </w:rPr>
        <w:t xml:space="preserve">dostawy </w:t>
      </w:r>
      <w:r w:rsidRPr="00166FFC">
        <w:rPr>
          <w:color w:val="000000"/>
          <w:sz w:val="22"/>
          <w:lang w:eastAsia="en-US"/>
        </w:rPr>
        <w:t xml:space="preserve">o więcej niż 5 dni roboczych, punkty w badanym kryterium zostaną przyznane jak dla 5-dniowego skrócenia terminu </w:t>
      </w:r>
      <w:r>
        <w:rPr>
          <w:color w:val="000000"/>
          <w:sz w:val="22"/>
          <w:lang w:eastAsia="en-US"/>
        </w:rPr>
        <w:t>dostawy</w:t>
      </w:r>
      <w:r w:rsidRPr="00166FFC">
        <w:rPr>
          <w:color w:val="000000"/>
          <w:sz w:val="22"/>
          <w:lang w:eastAsia="en-US"/>
        </w:rPr>
        <w:t>.</w:t>
      </w:r>
    </w:p>
    <w:p w14:paraId="2D1C9104" w14:textId="77777777" w:rsidR="00DE7FC6" w:rsidRDefault="00DE7FC6" w:rsidP="00DE7FC6">
      <w:pPr>
        <w:pStyle w:val="Akapitzlist"/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</w:p>
    <w:p w14:paraId="3BF4119B" w14:textId="77777777" w:rsidR="00DE7FC6" w:rsidRPr="00B773CE" w:rsidRDefault="00DE7FC6" w:rsidP="00DE7FC6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D544845" w14:textId="77777777" w:rsidR="00DE7FC6" w:rsidRPr="00A703F5" w:rsidRDefault="00DE7FC6" w:rsidP="00DE7FC6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5653431" w14:textId="77777777" w:rsidR="00DE7FC6" w:rsidRDefault="00DE7FC6" w:rsidP="00DE7FC6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6900D52" w14:textId="77777777" w:rsidR="00DE7FC6" w:rsidRPr="00166FFC" w:rsidRDefault="00DE7FC6" w:rsidP="00DE7FC6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166FFC">
        <w:rPr>
          <w:sz w:val="22"/>
        </w:rPr>
        <w:t>Jeżeli oferty otrzymały taką samą ocenę w kryterium o najwyższej wadze, Zamawiający wybiera ofertę z najniższą ceną</w:t>
      </w:r>
      <w:r>
        <w:rPr>
          <w:sz w:val="22"/>
        </w:rPr>
        <w:t>.</w:t>
      </w:r>
    </w:p>
    <w:p w14:paraId="6F5BF49A" w14:textId="77777777" w:rsidR="00DE7FC6" w:rsidRPr="00DB32FB" w:rsidRDefault="00DE7FC6" w:rsidP="00DE7FC6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5FB3CB23" w14:textId="4FB3E0B5" w:rsidR="00390081" w:rsidRPr="00B807C6" w:rsidRDefault="00DE7FC6" w:rsidP="00B807C6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0F84D47C" w14:textId="77777777"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D8598F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07F0ABDA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36FD8910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377FED80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41C7144D" w14:textId="77777777" w:rsidR="006C1AFF" w:rsidRPr="00873DFB" w:rsidRDefault="00873DFB" w:rsidP="0073703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0D62AEC9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1DD7FC36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1F35706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6F5E2584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09D23CD5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7475F1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4BDD9217" w14:textId="77777777" w:rsidR="003F2F74" w:rsidRDefault="003F2F74" w:rsidP="003F2F74">
      <w:pPr>
        <w:pStyle w:val="Akapitzlist"/>
        <w:rPr>
          <w:b/>
          <w:sz w:val="22"/>
        </w:rPr>
      </w:pPr>
    </w:p>
    <w:p w14:paraId="0E3A59A5" w14:textId="228B2C16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B807C6">
        <w:rPr>
          <w:sz w:val="22"/>
        </w:rPr>
        <w:t xml:space="preserve">załącznik nr </w:t>
      </w:r>
      <w:r w:rsidR="000838BC">
        <w:rPr>
          <w:sz w:val="22"/>
        </w:rPr>
        <w:t>5</w:t>
      </w:r>
      <w:r w:rsidR="00F33206" w:rsidRPr="00B807C6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6F8DC7E2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2D3A2B1B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B9463F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6CC5E5C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194CE8E2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368EEA83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23C77736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3635215E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2F4DE951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5AFC9DEB" w14:textId="77777777"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284323E1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32C42A9B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2AA35B2B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57ED58D0" w14:textId="77777777" w:rsidR="00DB0C1E" w:rsidRPr="003A6C50" w:rsidRDefault="00DB0C1E" w:rsidP="003F0504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4774F562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6CF697ED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B2F4B72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706E2110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BF75C0C" w14:textId="1243C4E4"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B807C6">
        <w:rPr>
          <w:sz w:val="20"/>
          <w:szCs w:val="20"/>
        </w:rPr>
        <w:t xml:space="preserve">na </w:t>
      </w:r>
      <w:r w:rsidR="00E9530A" w:rsidRPr="00E9530A">
        <w:rPr>
          <w:sz w:val="20"/>
          <w:szCs w:val="20"/>
        </w:rPr>
        <w:t>dostaw</w:t>
      </w:r>
      <w:r w:rsidR="00E9530A">
        <w:rPr>
          <w:sz w:val="20"/>
          <w:szCs w:val="20"/>
        </w:rPr>
        <w:t>ę</w:t>
      </w:r>
      <w:r w:rsidR="00E9530A" w:rsidRPr="00E9530A">
        <w:rPr>
          <w:sz w:val="20"/>
          <w:szCs w:val="20"/>
        </w:rPr>
        <w:t xml:space="preserve"> licencji Microsoft SQL Server 2022 Standard ( 2 </w:t>
      </w:r>
      <w:proofErr w:type="spellStart"/>
      <w:r w:rsidR="00E9530A" w:rsidRPr="00E9530A">
        <w:rPr>
          <w:sz w:val="20"/>
          <w:szCs w:val="20"/>
        </w:rPr>
        <w:t>core</w:t>
      </w:r>
      <w:proofErr w:type="spellEnd"/>
      <w:r w:rsidR="00E9530A" w:rsidRPr="00E9530A">
        <w:rPr>
          <w:sz w:val="20"/>
          <w:szCs w:val="20"/>
        </w:rPr>
        <w:t xml:space="preserve">)  – 5 szt. lub licencji równoważnych </w:t>
      </w:r>
      <w:r w:rsidR="00B807C6">
        <w:rPr>
          <w:sz w:val="20"/>
          <w:szCs w:val="20"/>
        </w:rPr>
        <w:t>( postępowanie nr ZP.272.1.9</w:t>
      </w:r>
      <w:r w:rsidR="00E9530A">
        <w:rPr>
          <w:sz w:val="20"/>
          <w:szCs w:val="20"/>
        </w:rPr>
        <w:t>6</w:t>
      </w:r>
      <w:r w:rsidR="00B807C6">
        <w:rPr>
          <w:sz w:val="20"/>
          <w:szCs w:val="20"/>
        </w:rPr>
        <w:t xml:space="preserve">.2023)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6B930E4D" w14:textId="190FD939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</w:t>
      </w:r>
      <w:r w:rsidR="00B807C6">
        <w:rPr>
          <w:sz w:val="20"/>
          <w:szCs w:val="20"/>
        </w:rPr>
        <w:t>2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</w:t>
      </w:r>
      <w:r w:rsidR="00B807C6">
        <w:rPr>
          <w:sz w:val="20"/>
          <w:szCs w:val="20"/>
        </w:rPr>
        <w:t>710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039886EE" w14:textId="77777777"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0D7CFBC1" w14:textId="77777777"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ED2E3CC" w14:textId="77777777"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4B79C3ED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195E4B7E" w14:textId="77777777"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5182E5EE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25BBCE67" w14:textId="77777777"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30EA1152" w14:textId="77777777" w:rsidR="00295475" w:rsidRPr="006B443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EA750B5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13CFE209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291F222D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2A6EE6F3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7B9EC081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144C18F7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46667833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641E0668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6EE8A15D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8367F7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6538603F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3ED131EB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7A74E6D3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lastRenderedPageBreak/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71C8206A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259074C7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31DCA9EB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796F7BFA" w14:textId="77777777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14:paraId="62F77BD1" w14:textId="100D0FE4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sectPr w:rsidR="007021F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6959" w14:textId="77777777" w:rsidR="00E4697F" w:rsidRDefault="00E4697F" w:rsidP="004F2A5C">
      <w:pPr>
        <w:spacing w:after="0" w:line="240" w:lineRule="auto"/>
      </w:pPr>
      <w:r>
        <w:separator/>
      </w:r>
    </w:p>
  </w:endnote>
  <w:endnote w:type="continuationSeparator" w:id="0">
    <w:p w14:paraId="3518B556" w14:textId="77777777" w:rsidR="00E4697F" w:rsidRDefault="00E4697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6DFB7BAE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7">
          <w:rPr>
            <w:noProof/>
          </w:rPr>
          <w:t>1</w:t>
        </w:r>
        <w:r>
          <w:fldChar w:fldCharType="end"/>
        </w:r>
      </w:p>
    </w:sdtContent>
  </w:sdt>
  <w:p w14:paraId="63C4AFD4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2F48" w14:textId="77777777" w:rsidR="00E4697F" w:rsidRDefault="00E4697F" w:rsidP="004F2A5C">
      <w:pPr>
        <w:spacing w:after="0" w:line="240" w:lineRule="auto"/>
      </w:pPr>
      <w:r>
        <w:separator/>
      </w:r>
    </w:p>
  </w:footnote>
  <w:footnote w:type="continuationSeparator" w:id="0">
    <w:p w14:paraId="4D460D5D" w14:textId="77777777" w:rsidR="00E4697F" w:rsidRDefault="00E4697F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0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50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 w:numId="53">
    <w:abstractNumId w:val="4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8BC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5334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47BC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4814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3DF0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07C6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262D4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E7FC6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4697F"/>
    <w:rsid w:val="00E52208"/>
    <w:rsid w:val="00E5647F"/>
    <w:rsid w:val="00E67D51"/>
    <w:rsid w:val="00E70117"/>
    <w:rsid w:val="00E76CD2"/>
    <w:rsid w:val="00E826EE"/>
    <w:rsid w:val="00E87222"/>
    <w:rsid w:val="00E9232C"/>
    <w:rsid w:val="00E9530A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59EE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1C-0B45-42CE-9746-810B0CAF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4922</Words>
  <Characters>29537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21</cp:revision>
  <cp:lastPrinted>2023-08-22T10:36:00Z</cp:lastPrinted>
  <dcterms:created xsi:type="dcterms:W3CDTF">2022-04-27T05:28:00Z</dcterms:created>
  <dcterms:modified xsi:type="dcterms:W3CDTF">2023-08-22T10:37:00Z</dcterms:modified>
</cp:coreProperties>
</file>