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962FA3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1B3FEB">
        <w:rPr>
          <w:rFonts w:eastAsia="Times New Roman" w:cs="Times New Roman"/>
        </w:rPr>
        <w:t>9</w:t>
      </w:r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962FA3" w:rsidRPr="00962FA3">
        <w:rPr>
          <w:rFonts w:eastAsia="Times New Roman" w:cs="Times New Roman"/>
          <w:i/>
        </w:rPr>
        <w:t>Budowa SKATE PARKU w miejscowości Wiskitki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AF0ED2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lastRenderedPageBreak/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>od dnia 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 xml:space="preserve">Zamawiający zobowiązuje się do terminowego przekazania Wykonawcy wynagrodzenia </w:t>
      </w:r>
      <w:r w:rsidR="001B3FEB">
        <w:rPr>
          <w:rFonts w:eastAsia="Times New Roman" w:cs="Times New Roman"/>
        </w:rPr>
        <w:br/>
      </w:r>
      <w:r>
        <w:rPr>
          <w:rFonts w:eastAsia="Times New Roman" w:cs="Times New Roman"/>
        </w:rPr>
        <w:t>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</w:t>
      </w:r>
      <w:r w:rsidR="001B3FEB">
        <w:rPr>
          <w:rFonts w:eastAsia="Times New Roman" w:cs="Times New Roman"/>
        </w:rPr>
        <w:t>15</w:t>
      </w:r>
      <w:r w:rsidR="00962FA3">
        <w:rPr>
          <w:rFonts w:eastAsia="Times New Roman" w:cs="Times New Roman"/>
        </w:rPr>
        <w:t xml:space="preserve"> listopada</w:t>
      </w:r>
      <w:r w:rsidR="00D56714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Agnieszka Dębska-Puta, inspektor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agnieszka.debska-puta@wiskitki.pl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62FA3">
        <w:rPr>
          <w:rFonts w:eastAsia="Times New Roman" w:cs="Times New Roman"/>
        </w:rPr>
        <w:t>………………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Zamawiający zastrzega sobie prawo rozliczenia płatności wynikających z umowy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>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 xml:space="preserve">y </w:t>
      </w:r>
      <w:r w:rsidR="001B3FEB">
        <w:rPr>
          <w:rFonts w:cs="Times New Roman"/>
        </w:rPr>
        <w:br/>
      </w:r>
      <w:r>
        <w:rPr>
          <w:rFonts w:cs="Times New Roman"/>
        </w:rPr>
        <w:t>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lastRenderedPageBreak/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>nek bankowy wskazany w Umowie: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</w:t>
      </w:r>
      <w:r w:rsidR="001B3FEB">
        <w:rPr>
          <w:rFonts w:cs="Times New Roman"/>
        </w:rPr>
        <w:br/>
      </w:r>
      <w:r w:rsidRPr="00D008AE">
        <w:rPr>
          <w:rFonts w:cs="Times New Roman"/>
        </w:rPr>
        <w:t xml:space="preserve">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1B3FEB" w:rsidRDefault="001B3FEB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lastRenderedPageBreak/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 xml:space="preserve">: dokumentacja przekazana przez Wykonawcę po zbadaniu zostanie zamknięta </w:t>
      </w:r>
      <w:r w:rsidR="001B3FEB">
        <w:rPr>
          <w:rFonts w:cs="Times New Roman"/>
        </w:rPr>
        <w:br/>
      </w:r>
      <w:r w:rsidR="00906DB5">
        <w:rPr>
          <w:rFonts w:cs="Times New Roman"/>
        </w:rPr>
        <w:t>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projektu jej zmiany lub sprzeciwu do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 xml:space="preserve">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lastRenderedPageBreak/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przedstawieniem przez niego dowodów potwierdzających zapłatę wymagalnego 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poświadczonej za zgodność z oryginałem kopii umowy </w:t>
      </w:r>
      <w:r w:rsidR="001B3FEB">
        <w:rPr>
          <w:rFonts w:eastAsia="Times New Roman" w:cs="Times New Roman"/>
        </w:rPr>
        <w:br/>
      </w:r>
      <w:r w:rsidRPr="00AF0ED2">
        <w:rPr>
          <w:rFonts w:eastAsia="Times New Roman" w:cs="Times New Roman"/>
        </w:rPr>
        <w:t>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1B3FEB" w:rsidRPr="00AF0ED2" w:rsidRDefault="001B3FEB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bookmarkStart w:id="0" w:name="_GoBack"/>
      <w:bookmarkEnd w:id="0"/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lastRenderedPageBreak/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1B3FEB">
      <w:rPr>
        <w:noProof/>
        <w:sz w:val="16"/>
      </w:rPr>
      <w:t>6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1B3FEB"/>
    <w:rsid w:val="002A412F"/>
    <w:rsid w:val="002D45DA"/>
    <w:rsid w:val="00323616"/>
    <w:rsid w:val="003561A6"/>
    <w:rsid w:val="00362D1F"/>
    <w:rsid w:val="003F5BE7"/>
    <w:rsid w:val="00500F92"/>
    <w:rsid w:val="00547C76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A170BE"/>
    <w:rsid w:val="00AC7C5B"/>
    <w:rsid w:val="00AF0ED2"/>
    <w:rsid w:val="00B148D6"/>
    <w:rsid w:val="00B20FE3"/>
    <w:rsid w:val="00B32EBB"/>
    <w:rsid w:val="00B75F39"/>
    <w:rsid w:val="00D008AE"/>
    <w:rsid w:val="00D56714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Dębska-Puta</dc:creator>
  <cp:lastModifiedBy>Agnieszka Dębska-Puta</cp:lastModifiedBy>
  <cp:revision>2</cp:revision>
  <cp:lastPrinted>2021-02-03T14:03:00Z</cp:lastPrinted>
  <dcterms:created xsi:type="dcterms:W3CDTF">2021-06-17T09:27:00Z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