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7D31" w14:textId="15BA402D" w:rsidR="009067A6" w:rsidRPr="009067A6" w:rsidRDefault="009067A6" w:rsidP="009067A6">
      <w:pPr>
        <w:ind w:left="720" w:hanging="360"/>
        <w:jc w:val="right"/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Załącznik nr 1 do SWZ</w:t>
      </w:r>
    </w:p>
    <w:p w14:paraId="253CAE27" w14:textId="4807EB6E" w:rsidR="009067A6" w:rsidRPr="00D04B2B" w:rsidRDefault="009067A6" w:rsidP="009067A6">
      <w:pPr>
        <w:ind w:left="720" w:hanging="360"/>
        <w:jc w:val="center"/>
        <w:rPr>
          <w:rFonts w:ascii="Acumin Pro" w:hAnsi="Acumin Pro" w:cs="Arial"/>
          <w:b/>
          <w:bCs/>
          <w:color w:val="FF0000"/>
          <w:sz w:val="20"/>
          <w:szCs w:val="20"/>
          <w:u w:val="single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OPIS PRZEDMIOTU ZAMÓWIENIA</w:t>
      </w:r>
      <w:r>
        <w:rPr>
          <w:rFonts w:ascii="Acumin Pro" w:hAnsi="Acumin Pro" w:cs="Arial"/>
          <w:b/>
          <w:bCs/>
          <w:sz w:val="20"/>
          <w:szCs w:val="20"/>
        </w:rPr>
        <w:t xml:space="preserve"> NA </w:t>
      </w:r>
      <w:r w:rsidRPr="009067A6">
        <w:rPr>
          <w:rFonts w:ascii="Acumin Pro" w:hAnsi="Acumin Pro" w:cs="Arial"/>
          <w:b/>
          <w:bCs/>
          <w:sz w:val="20"/>
          <w:szCs w:val="20"/>
          <w:u w:val="single"/>
        </w:rPr>
        <w:t>I część zamówienia</w:t>
      </w:r>
      <w:r w:rsidR="00D04B2B">
        <w:rPr>
          <w:rFonts w:ascii="Acumin Pro" w:hAnsi="Acumin Pro" w:cs="Arial"/>
          <w:b/>
          <w:bCs/>
          <w:sz w:val="20"/>
          <w:szCs w:val="20"/>
          <w:u w:val="single"/>
        </w:rPr>
        <w:t xml:space="preserve"> – </w:t>
      </w:r>
      <w:r w:rsidR="00D04B2B" w:rsidRPr="00D04B2B">
        <w:rPr>
          <w:rFonts w:ascii="Acumin Pro" w:hAnsi="Acumin Pro" w:cs="Arial"/>
          <w:b/>
          <w:bCs/>
          <w:color w:val="FF0000"/>
          <w:sz w:val="20"/>
          <w:szCs w:val="20"/>
          <w:u w:val="single"/>
        </w:rPr>
        <w:t>po zmianach</w:t>
      </w:r>
      <w:r w:rsidR="00D16E8F">
        <w:rPr>
          <w:rFonts w:ascii="Acumin Pro" w:hAnsi="Acumin Pro" w:cs="Arial"/>
          <w:b/>
          <w:bCs/>
          <w:color w:val="FF0000"/>
          <w:sz w:val="20"/>
          <w:szCs w:val="20"/>
          <w:u w:val="single"/>
        </w:rPr>
        <w:t xml:space="preserve"> nr 2</w:t>
      </w:r>
    </w:p>
    <w:p w14:paraId="5393FD25" w14:textId="63CC01B5" w:rsidR="009067A6" w:rsidRPr="009067A6" w:rsidRDefault="009067A6" w:rsidP="009067A6">
      <w:pPr>
        <w:ind w:left="720" w:hanging="360"/>
        <w:jc w:val="center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tj. na zakup i dostarczenie urządzeń serwerowych</w:t>
      </w:r>
    </w:p>
    <w:p w14:paraId="0E3DA841" w14:textId="77777777" w:rsidR="009067A6" w:rsidRPr="009067A6" w:rsidRDefault="009067A6" w:rsidP="009067A6">
      <w:pPr>
        <w:pStyle w:val="Akapitzlist"/>
        <w:rPr>
          <w:rFonts w:ascii="Acumin Pro" w:hAnsi="Acumin Pro" w:cs="Arial"/>
          <w:b/>
          <w:bCs/>
          <w:sz w:val="20"/>
          <w:szCs w:val="20"/>
        </w:rPr>
      </w:pPr>
    </w:p>
    <w:p w14:paraId="0AED5077" w14:textId="1CC6B5EB" w:rsidR="009067A6" w:rsidRPr="009067A6" w:rsidRDefault="009067A6" w:rsidP="00662A49">
      <w:pPr>
        <w:pStyle w:val="Akapitzlist"/>
        <w:numPr>
          <w:ilvl w:val="0"/>
          <w:numId w:val="29"/>
        </w:num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 xml:space="preserve">Serwery </w:t>
      </w:r>
    </w:p>
    <w:p w14:paraId="4D349316" w14:textId="77777777" w:rsidR="009067A6" w:rsidRPr="009067A6" w:rsidRDefault="009067A6" w:rsidP="009067A6">
      <w:pPr>
        <w:rPr>
          <w:rFonts w:ascii="Acumin Pro" w:hAnsi="Acumin Pro" w:cs="Arial"/>
          <w:b/>
          <w:bCs/>
          <w:sz w:val="20"/>
          <w:szCs w:val="20"/>
        </w:rPr>
      </w:pPr>
    </w:p>
    <w:p w14:paraId="74FB931F" w14:textId="4F772E0D" w:rsidR="009067A6" w:rsidRPr="009067A6" w:rsidRDefault="009067A6" w:rsidP="009067A6">
      <w:pPr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Zamawiający wymaga dostarczenia trzech serwerów tego samego producenta i tego samego modelu o takich samych parametrach technicznych spełniających wymagania przedstawione poniżej</w:t>
      </w:r>
      <w:r>
        <w:rPr>
          <w:rFonts w:ascii="Acumin Pro" w:hAnsi="Acumin Pro" w:cs="Arial"/>
          <w:sz w:val="20"/>
          <w:szCs w:val="20"/>
        </w:rPr>
        <w:t>.</w:t>
      </w:r>
    </w:p>
    <w:p w14:paraId="72480E2F" w14:textId="77777777" w:rsidR="009067A6" w:rsidRPr="009067A6" w:rsidRDefault="009067A6" w:rsidP="009067A6">
      <w:pPr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 </w:t>
      </w:r>
    </w:p>
    <w:p w14:paraId="51552014" w14:textId="77777777" w:rsidR="009067A6" w:rsidRPr="009067A6" w:rsidRDefault="009067A6" w:rsidP="009067A6">
      <w:p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Wymagania dotyczące serwerów:</w:t>
      </w:r>
    </w:p>
    <w:p w14:paraId="49BC749C" w14:textId="77777777" w:rsidR="009067A6" w:rsidRPr="009067A6" w:rsidRDefault="009067A6" w:rsidP="009067A6">
      <w:pPr>
        <w:rPr>
          <w:rFonts w:ascii="Acumin Pro" w:hAnsi="Acumin Pro" w:cs="Arial"/>
          <w:sz w:val="20"/>
          <w:szCs w:val="20"/>
        </w:rPr>
      </w:pPr>
    </w:p>
    <w:p w14:paraId="5DD25A3D" w14:textId="77777777" w:rsidR="009067A6" w:rsidRPr="009067A6" w:rsidRDefault="009067A6" w:rsidP="009067A6">
      <w:pPr>
        <w:numPr>
          <w:ilvl w:val="0"/>
          <w:numId w:val="1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powinien posiadać obudowę typu RACK o wysokości max 2U. </w:t>
      </w:r>
    </w:p>
    <w:p w14:paraId="69DCC0A2" w14:textId="77777777" w:rsidR="009067A6" w:rsidRPr="009067A6" w:rsidRDefault="009067A6" w:rsidP="009067A6">
      <w:pPr>
        <w:numPr>
          <w:ilvl w:val="0"/>
          <w:numId w:val="2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posiadać możliwość instalacji minimum 8 dysków 2.5”. </w:t>
      </w:r>
    </w:p>
    <w:p w14:paraId="54D6E4F6" w14:textId="77777777" w:rsidR="009067A6" w:rsidRPr="009067A6" w:rsidRDefault="009067A6" w:rsidP="009067A6">
      <w:pPr>
        <w:numPr>
          <w:ilvl w:val="0"/>
          <w:numId w:val="3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wyposażony w komplet wysuwanych szyn umożliwiających montaż w szafie RACK i wysuwanie serwera do celów serwisowych oraz organizatorem do kabli. </w:t>
      </w:r>
    </w:p>
    <w:p w14:paraId="531A909A" w14:textId="0D966D83" w:rsidR="009067A6" w:rsidRPr="009067A6" w:rsidRDefault="009067A6" w:rsidP="009067A6">
      <w:pPr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Płyta główna musi mieć możliwość zainstalowania </w:t>
      </w:r>
      <w:r>
        <w:rPr>
          <w:rFonts w:ascii="Acumin Pro" w:hAnsi="Acumin Pro" w:cs="Arial"/>
          <w:sz w:val="20"/>
          <w:szCs w:val="20"/>
        </w:rPr>
        <w:t>minimum</w:t>
      </w:r>
      <w:r w:rsidRPr="009067A6">
        <w:rPr>
          <w:rFonts w:ascii="Acumin Pro" w:hAnsi="Acumin Pro" w:cs="Arial"/>
          <w:sz w:val="20"/>
          <w:szCs w:val="20"/>
        </w:rPr>
        <w:t xml:space="preserve"> dwóch procesorów</w:t>
      </w:r>
      <w:r>
        <w:rPr>
          <w:rFonts w:ascii="Acumin Pro" w:hAnsi="Acumin Pro" w:cs="Arial"/>
          <w:sz w:val="20"/>
          <w:szCs w:val="20"/>
        </w:rPr>
        <w:t>.</w:t>
      </w:r>
    </w:p>
    <w:p w14:paraId="3D2A389D" w14:textId="5EF3E645" w:rsidR="009067A6" w:rsidRPr="009067A6" w:rsidRDefault="009067A6" w:rsidP="009067A6">
      <w:pPr>
        <w:numPr>
          <w:ilvl w:val="0"/>
          <w:numId w:val="5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Płyta główna musi być zaprojektowana przez producenta serwera i oznaczona jego znakiem firmowym</w:t>
      </w:r>
      <w:r>
        <w:rPr>
          <w:rFonts w:ascii="Acumin Pro" w:hAnsi="Acumin Pro" w:cs="Arial"/>
          <w:sz w:val="20"/>
          <w:szCs w:val="20"/>
        </w:rPr>
        <w:t>.</w:t>
      </w:r>
      <w:r w:rsidRPr="009067A6">
        <w:rPr>
          <w:rFonts w:ascii="Acumin Pro" w:hAnsi="Acumin Pro" w:cs="Arial"/>
          <w:sz w:val="20"/>
          <w:szCs w:val="20"/>
        </w:rPr>
        <w:t> </w:t>
      </w:r>
    </w:p>
    <w:p w14:paraId="17CAC29E" w14:textId="30E9A131" w:rsidR="009067A6" w:rsidRPr="009067A6" w:rsidRDefault="002578B1" w:rsidP="009067A6">
      <w:pPr>
        <w:numPr>
          <w:ilvl w:val="0"/>
          <w:numId w:val="6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Zainstalowane w każdym serwerze </w:t>
      </w:r>
      <w:r w:rsidR="009067A6" w:rsidRPr="009067A6">
        <w:rPr>
          <w:rFonts w:ascii="Acumin Pro" w:hAnsi="Acumin Pro" w:cs="Arial"/>
          <w:sz w:val="20"/>
          <w:szCs w:val="20"/>
        </w:rPr>
        <w:t xml:space="preserve">dwa procesory minimum 8-rdzeniowe klasy x86, minimum </w:t>
      </w:r>
      <w:r w:rsidR="00D04B2B" w:rsidRPr="00D04B2B">
        <w:rPr>
          <w:rFonts w:ascii="Acumin Pro" w:hAnsi="Acumin Pro" w:cs="Arial"/>
          <w:color w:val="FF0000"/>
          <w:sz w:val="20"/>
          <w:szCs w:val="20"/>
        </w:rPr>
        <w:t>2</w:t>
      </w:r>
      <w:r w:rsidR="009067A6" w:rsidRPr="00D04B2B">
        <w:rPr>
          <w:rFonts w:ascii="Acumin Pro" w:hAnsi="Acumin Pro" w:cs="Arial"/>
          <w:color w:val="FF0000"/>
          <w:sz w:val="20"/>
          <w:szCs w:val="20"/>
        </w:rPr>
        <w:t>.2GHz</w:t>
      </w:r>
      <w:r w:rsidR="00D04B2B">
        <w:rPr>
          <w:rFonts w:ascii="Acumin Pro" w:hAnsi="Acumin Pro" w:cs="Arial"/>
          <w:color w:val="FF0000"/>
          <w:sz w:val="20"/>
          <w:szCs w:val="20"/>
        </w:rPr>
        <w:t xml:space="preserve"> (zmiana </w:t>
      </w:r>
      <w:r w:rsidR="00F800FE">
        <w:rPr>
          <w:rFonts w:ascii="Acumin Pro" w:hAnsi="Acumin Pro" w:cs="Arial"/>
          <w:color w:val="FF0000"/>
          <w:sz w:val="20"/>
          <w:szCs w:val="20"/>
        </w:rPr>
        <w:t>20</w:t>
      </w:r>
      <w:r w:rsidR="00D04B2B">
        <w:rPr>
          <w:rFonts w:ascii="Acumin Pro" w:hAnsi="Acumin Pro" w:cs="Arial"/>
          <w:color w:val="FF0000"/>
          <w:sz w:val="20"/>
          <w:szCs w:val="20"/>
        </w:rPr>
        <w:t>.09.2024 r.)</w:t>
      </w:r>
      <w:r w:rsidR="009067A6" w:rsidRPr="00D04B2B">
        <w:rPr>
          <w:rFonts w:ascii="Acumin Pro" w:hAnsi="Acumin Pro" w:cs="Arial"/>
          <w:color w:val="FF0000"/>
          <w:sz w:val="20"/>
          <w:szCs w:val="20"/>
        </w:rPr>
        <w:t>,</w:t>
      </w:r>
      <w:r w:rsidRPr="00D04B2B">
        <w:rPr>
          <w:rFonts w:ascii="Acumin Pro" w:hAnsi="Acumin Pro" w:cs="Arial"/>
          <w:color w:val="FF0000"/>
          <w:sz w:val="20"/>
          <w:szCs w:val="20"/>
        </w:rPr>
        <w:t xml:space="preserve"> </w:t>
      </w:r>
      <w:r w:rsidR="009067A6" w:rsidRPr="009067A6">
        <w:rPr>
          <w:rFonts w:ascii="Acumin Pro" w:hAnsi="Acumin Pro" w:cs="Arial"/>
          <w:sz w:val="20"/>
          <w:szCs w:val="20"/>
        </w:rPr>
        <w:t>umożliwiające osiągnięcie wyniku minimum 139 pkt. w teście SPECrate2017_int_base, dostępnym na stronie www.spec.org (</w:t>
      </w:r>
      <w:hyperlink r:id="rId5">
        <w:r w:rsidR="009067A6" w:rsidRPr="009067A6">
          <w:rPr>
            <w:rStyle w:val="Hipercze"/>
            <w:rFonts w:ascii="Acumin Pro" w:hAnsi="Acumin Pro" w:cs="Arial"/>
            <w:sz w:val="20"/>
            <w:szCs w:val="20"/>
          </w:rPr>
          <w:t>https://www.spec.org/cpu2017/results/cpu2017.html</w:t>
        </w:r>
      </w:hyperlink>
      <w:r w:rsidR="009067A6" w:rsidRPr="009067A6">
        <w:rPr>
          <w:rFonts w:ascii="Acumin Pro" w:hAnsi="Acumin Pro" w:cs="Arial"/>
          <w:sz w:val="20"/>
          <w:szCs w:val="20"/>
        </w:rPr>
        <w:t xml:space="preserve"> zakładka CPU2017 </w:t>
      </w:r>
      <w:proofErr w:type="spellStart"/>
      <w:r w:rsidR="009067A6" w:rsidRPr="009067A6">
        <w:rPr>
          <w:rFonts w:ascii="Acumin Pro" w:hAnsi="Acumin Pro" w:cs="Arial"/>
          <w:sz w:val="20"/>
          <w:szCs w:val="20"/>
        </w:rPr>
        <w:t>Integer</w:t>
      </w:r>
      <w:proofErr w:type="spellEnd"/>
      <w:r w:rsidR="009067A6" w:rsidRPr="009067A6">
        <w:rPr>
          <w:rFonts w:ascii="Acumin Pro" w:hAnsi="Acumin Pro" w:cs="Arial"/>
          <w:sz w:val="20"/>
          <w:szCs w:val="20"/>
        </w:rPr>
        <w:t xml:space="preserve"> </w:t>
      </w:r>
      <w:proofErr w:type="spellStart"/>
      <w:r w:rsidR="009067A6" w:rsidRPr="009067A6">
        <w:rPr>
          <w:rFonts w:ascii="Acumin Pro" w:hAnsi="Acumin Pro" w:cs="Arial"/>
          <w:sz w:val="20"/>
          <w:szCs w:val="20"/>
        </w:rPr>
        <w:t>Rates</w:t>
      </w:r>
      <w:proofErr w:type="spellEnd"/>
      <w:r w:rsidR="009067A6" w:rsidRPr="009067A6">
        <w:rPr>
          <w:rFonts w:ascii="Acumin Pro" w:hAnsi="Acumin Pro" w:cs="Arial"/>
          <w:sz w:val="20"/>
          <w:szCs w:val="20"/>
        </w:rPr>
        <w:t>) dla konfiguracji dwuprocesorowej. </w:t>
      </w:r>
    </w:p>
    <w:p w14:paraId="5898EA3C" w14:textId="21310098" w:rsidR="009067A6" w:rsidRPr="009067A6" w:rsidRDefault="009067A6" w:rsidP="009067A6">
      <w:pPr>
        <w:numPr>
          <w:ilvl w:val="0"/>
          <w:numId w:val="7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wyposażony w minimum 256GB DDR4 RDIMM 3200MT/s</w:t>
      </w:r>
      <w:r>
        <w:rPr>
          <w:rFonts w:ascii="Acumin Pro" w:hAnsi="Acumin Pro" w:cs="Arial"/>
          <w:sz w:val="20"/>
          <w:szCs w:val="20"/>
        </w:rPr>
        <w:t>.</w:t>
      </w:r>
    </w:p>
    <w:p w14:paraId="7D5EDA88" w14:textId="77777777" w:rsidR="009067A6" w:rsidRPr="009067A6" w:rsidRDefault="009067A6" w:rsidP="009067A6">
      <w:pPr>
        <w:numPr>
          <w:ilvl w:val="0"/>
          <w:numId w:val="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wyposażony w płytę główną wyposażoną w minimum 16 slotów przeznaczonych do instalacji modułów pamięci. Płyta główna powinna obsługiwać do 1TB pamięci RAM. </w:t>
      </w:r>
    </w:p>
    <w:p w14:paraId="3AF29256" w14:textId="77777777" w:rsidR="009067A6" w:rsidRPr="009067A6" w:rsidRDefault="009067A6" w:rsidP="009067A6">
      <w:pPr>
        <w:numPr>
          <w:ilvl w:val="0"/>
          <w:numId w:val="9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Serwer musi posiadać minimum 5 slotów </w:t>
      </w:r>
      <w:proofErr w:type="spellStart"/>
      <w:r w:rsidRPr="009067A6">
        <w:rPr>
          <w:rFonts w:ascii="Acumin Pro" w:hAnsi="Acumin Pro" w:cs="Arial"/>
          <w:sz w:val="20"/>
          <w:szCs w:val="20"/>
        </w:rPr>
        <w:t>PCIe</w:t>
      </w:r>
      <w:proofErr w:type="spellEnd"/>
      <w:r w:rsidRPr="009067A6">
        <w:rPr>
          <w:rFonts w:ascii="Acumin Pro" w:hAnsi="Acumin Pro" w:cs="Arial"/>
          <w:sz w:val="20"/>
          <w:szCs w:val="20"/>
        </w:rPr>
        <w:t xml:space="preserve"> x16 generacji 4. </w:t>
      </w:r>
    </w:p>
    <w:p w14:paraId="06E4BBB2" w14:textId="7B8B0333" w:rsidR="009067A6" w:rsidRPr="009067A6" w:rsidRDefault="009067A6" w:rsidP="009067A6">
      <w:pPr>
        <w:numPr>
          <w:ilvl w:val="0"/>
          <w:numId w:val="10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Serwer musi mieć wbudowane minimum 2 interfejsy sieciowe 1Gb Ethernet w standardzie </w:t>
      </w:r>
      <w:proofErr w:type="spellStart"/>
      <w:r w:rsidRPr="009067A6">
        <w:rPr>
          <w:rFonts w:ascii="Acumin Pro" w:hAnsi="Acumin Pro" w:cs="Arial"/>
          <w:sz w:val="20"/>
          <w:szCs w:val="20"/>
        </w:rPr>
        <w:t>BaseT</w:t>
      </w:r>
      <w:proofErr w:type="spellEnd"/>
      <w:r w:rsidRPr="009067A6">
        <w:rPr>
          <w:rFonts w:ascii="Acumin Pro" w:hAnsi="Acumin Pro" w:cs="Arial"/>
          <w:sz w:val="20"/>
          <w:szCs w:val="20"/>
        </w:rPr>
        <w:t xml:space="preserve"> oraz 2 interfejsy sieciowe 10Gb Ethernet w standardzie SFP+ </w:t>
      </w:r>
      <w:r>
        <w:rPr>
          <w:rFonts w:ascii="Acumin Pro" w:hAnsi="Acumin Pro" w:cs="Arial"/>
          <w:sz w:val="20"/>
          <w:szCs w:val="20"/>
        </w:rPr>
        <w:t>.</w:t>
      </w:r>
    </w:p>
    <w:p w14:paraId="100155F6" w14:textId="6FF094D8" w:rsidR="009067A6" w:rsidRPr="009067A6" w:rsidRDefault="009067A6" w:rsidP="009067A6">
      <w:pPr>
        <w:numPr>
          <w:ilvl w:val="0"/>
          <w:numId w:val="10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mieć zainstalowaną 2-portową kartę HBA FC 32Gb </w:t>
      </w:r>
      <w:r>
        <w:rPr>
          <w:rFonts w:ascii="Acumin Pro" w:hAnsi="Acumin Pro" w:cs="Arial"/>
          <w:sz w:val="20"/>
          <w:szCs w:val="20"/>
        </w:rPr>
        <w:t>.</w:t>
      </w:r>
    </w:p>
    <w:p w14:paraId="1E4B7DFC" w14:textId="1F06A88D" w:rsidR="009067A6" w:rsidRPr="009067A6" w:rsidRDefault="009067A6" w:rsidP="009067A6">
      <w:pPr>
        <w:numPr>
          <w:ilvl w:val="0"/>
          <w:numId w:val="11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mieć możliwość instalacji dysków SAS, SATA, SSD</w:t>
      </w:r>
      <w:r>
        <w:rPr>
          <w:rFonts w:ascii="Acumin Pro" w:hAnsi="Acumin Pro" w:cs="Arial"/>
          <w:sz w:val="20"/>
          <w:szCs w:val="20"/>
        </w:rPr>
        <w:t>.</w:t>
      </w:r>
      <w:r w:rsidRPr="009067A6">
        <w:rPr>
          <w:rFonts w:ascii="Acumin Pro" w:hAnsi="Acumin Pro" w:cs="Arial"/>
          <w:sz w:val="20"/>
          <w:szCs w:val="20"/>
        </w:rPr>
        <w:t> </w:t>
      </w:r>
    </w:p>
    <w:p w14:paraId="512CE830" w14:textId="76D97DC8" w:rsidR="009067A6" w:rsidRPr="009067A6" w:rsidRDefault="009067A6" w:rsidP="009067A6">
      <w:pPr>
        <w:numPr>
          <w:ilvl w:val="0"/>
          <w:numId w:val="12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Serwer musi mieć zainstalowane </w:t>
      </w:r>
      <w:r>
        <w:rPr>
          <w:rFonts w:ascii="Acumin Pro" w:hAnsi="Acumin Pro" w:cs="Arial"/>
          <w:sz w:val="20"/>
          <w:szCs w:val="20"/>
        </w:rPr>
        <w:t xml:space="preserve">minimum </w:t>
      </w:r>
      <w:r w:rsidRPr="009067A6">
        <w:rPr>
          <w:rFonts w:ascii="Acumin Pro" w:hAnsi="Acumin Pro" w:cs="Arial"/>
          <w:sz w:val="20"/>
          <w:szCs w:val="20"/>
        </w:rPr>
        <w:t>2 dyski SSD SATA o pojemności minimum 480GB, 6Gb, 2,5“Hot-Plug, skonfigurowane w RAID1.</w:t>
      </w:r>
      <w:r w:rsidRPr="009067A6">
        <w:rPr>
          <w:rFonts w:ascii="Acumin Pro" w:hAnsi="Acumin Pro" w:cs="Arial"/>
          <w:sz w:val="20"/>
          <w:szCs w:val="20"/>
        </w:rPr>
        <w:tab/>
      </w:r>
      <w:r w:rsidRPr="009067A6">
        <w:rPr>
          <w:rFonts w:ascii="Acumin Pro" w:hAnsi="Acumin Pro" w:cs="Arial"/>
          <w:sz w:val="20"/>
          <w:szCs w:val="20"/>
        </w:rPr>
        <w:tab/>
        <w:t> </w:t>
      </w:r>
    </w:p>
    <w:p w14:paraId="42D469C1" w14:textId="58DD1D9C" w:rsidR="009067A6" w:rsidRPr="009067A6" w:rsidRDefault="009067A6" w:rsidP="009067A6">
      <w:pPr>
        <w:numPr>
          <w:ilvl w:val="0"/>
          <w:numId w:val="13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mieć możliwość zainstalowania</w:t>
      </w:r>
      <w:r>
        <w:rPr>
          <w:rFonts w:ascii="Acumin Pro" w:hAnsi="Acumin Pro" w:cs="Arial"/>
          <w:sz w:val="20"/>
          <w:szCs w:val="20"/>
        </w:rPr>
        <w:t xml:space="preserve"> minimum</w:t>
      </w:r>
      <w:r w:rsidRPr="009067A6">
        <w:rPr>
          <w:rFonts w:ascii="Acumin Pro" w:hAnsi="Acumin Pro" w:cs="Arial"/>
          <w:sz w:val="20"/>
          <w:szCs w:val="20"/>
        </w:rPr>
        <w:t xml:space="preserve"> </w:t>
      </w:r>
      <w:r>
        <w:rPr>
          <w:rFonts w:ascii="Acumin Pro" w:hAnsi="Acumin Pro" w:cs="Arial"/>
          <w:sz w:val="20"/>
          <w:szCs w:val="20"/>
        </w:rPr>
        <w:t>2</w:t>
      </w:r>
      <w:r w:rsidRPr="009067A6">
        <w:rPr>
          <w:rFonts w:ascii="Acumin Pro" w:hAnsi="Acumin Pro" w:cs="Arial"/>
          <w:sz w:val="20"/>
          <w:szCs w:val="20"/>
        </w:rPr>
        <w:t xml:space="preserve"> dysków M.2 SATA na płycie głównej (lub dedykowanej karcie PCI Express) z możliwością konfiguracji RAID 1, dyski nie mogą zajmować klatek dla dysków hot-plug. </w:t>
      </w:r>
    </w:p>
    <w:p w14:paraId="69E9F5AA" w14:textId="77777777" w:rsidR="009067A6" w:rsidRPr="009067A6" w:rsidRDefault="009067A6" w:rsidP="009067A6">
      <w:pPr>
        <w:numPr>
          <w:ilvl w:val="0"/>
          <w:numId w:val="14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posiadać sprzętowy kontroler dyskowy, umożliwiający konfigurację poziomów RAID-0, RAID-1, RAID-10. </w:t>
      </w:r>
    </w:p>
    <w:p w14:paraId="4F8271D1" w14:textId="7E7D0F2C" w:rsidR="009067A6" w:rsidRPr="009067A6" w:rsidRDefault="009067A6" w:rsidP="009067A6">
      <w:pPr>
        <w:numPr>
          <w:ilvl w:val="0"/>
          <w:numId w:val="15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lastRenderedPageBreak/>
        <w:t>Serwer musi być wyposażony w minimum 3 porty USB, w tym minimum 1 port USB 3.0</w:t>
      </w:r>
      <w:r>
        <w:rPr>
          <w:rFonts w:ascii="Acumin Pro" w:hAnsi="Acumin Pro" w:cs="Arial"/>
          <w:sz w:val="20"/>
          <w:szCs w:val="20"/>
        </w:rPr>
        <w:t>.</w:t>
      </w:r>
    </w:p>
    <w:p w14:paraId="5A5550D1" w14:textId="1EBC0DE3" w:rsidR="009067A6" w:rsidRPr="009067A6" w:rsidRDefault="009067A6" w:rsidP="009067A6">
      <w:pPr>
        <w:numPr>
          <w:ilvl w:val="0"/>
          <w:numId w:val="16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wyposażony w minimum 2 porty VGA z czego 1 na panelu przednim </w:t>
      </w:r>
      <w:r>
        <w:rPr>
          <w:rFonts w:ascii="Acumin Pro" w:hAnsi="Acumin Pro" w:cs="Arial"/>
          <w:sz w:val="20"/>
          <w:szCs w:val="20"/>
        </w:rPr>
        <w:t>.</w:t>
      </w:r>
    </w:p>
    <w:p w14:paraId="160A3F5D" w14:textId="2F6D7D88" w:rsidR="009067A6" w:rsidRPr="009067A6" w:rsidRDefault="009067A6" w:rsidP="009067A6">
      <w:pPr>
        <w:numPr>
          <w:ilvl w:val="0"/>
          <w:numId w:val="17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mieć możliwość rozbudowy o Serial Port</w:t>
      </w:r>
      <w:r>
        <w:rPr>
          <w:rFonts w:ascii="Acumin Pro" w:hAnsi="Acumin Pro" w:cs="Arial"/>
          <w:sz w:val="20"/>
          <w:szCs w:val="20"/>
        </w:rPr>
        <w:t>.</w:t>
      </w:r>
      <w:r w:rsidRPr="009067A6">
        <w:rPr>
          <w:rFonts w:ascii="Acumin Pro" w:hAnsi="Acumin Pro" w:cs="Arial"/>
          <w:sz w:val="20"/>
          <w:szCs w:val="20"/>
        </w:rPr>
        <w:t> </w:t>
      </w:r>
    </w:p>
    <w:p w14:paraId="222D99AB" w14:textId="16758980" w:rsidR="009067A6" w:rsidRPr="009067A6" w:rsidRDefault="009067A6" w:rsidP="009067A6">
      <w:pPr>
        <w:numPr>
          <w:ilvl w:val="0"/>
          <w:numId w:val="1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posiadać zintegrowaną lub dedykowaną kartę graficzną umożliwiającą wyświetlenie rozdzielczości minimum 1280x1024 </w:t>
      </w:r>
      <w:r>
        <w:rPr>
          <w:rFonts w:ascii="Acumin Pro" w:hAnsi="Acumin Pro" w:cs="Arial"/>
          <w:sz w:val="20"/>
          <w:szCs w:val="20"/>
        </w:rPr>
        <w:t>.</w:t>
      </w:r>
    </w:p>
    <w:p w14:paraId="4A6D0884" w14:textId="3628A4BB" w:rsidR="009067A6" w:rsidRPr="009067A6" w:rsidRDefault="009067A6" w:rsidP="009067A6">
      <w:pPr>
        <w:numPr>
          <w:ilvl w:val="0"/>
          <w:numId w:val="19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wyposażony w redundantne wentylatory</w:t>
      </w:r>
      <w:r>
        <w:rPr>
          <w:rFonts w:ascii="Acumin Pro" w:hAnsi="Acumin Pro" w:cs="Arial"/>
          <w:sz w:val="20"/>
          <w:szCs w:val="20"/>
        </w:rPr>
        <w:t>.</w:t>
      </w:r>
      <w:r w:rsidRPr="009067A6">
        <w:rPr>
          <w:rFonts w:ascii="Acumin Pro" w:hAnsi="Acumin Pro" w:cs="Arial"/>
          <w:sz w:val="20"/>
          <w:szCs w:val="20"/>
        </w:rPr>
        <w:t> </w:t>
      </w:r>
    </w:p>
    <w:p w14:paraId="53EC9029" w14:textId="694BD071" w:rsidR="009067A6" w:rsidRPr="009067A6" w:rsidRDefault="009067A6" w:rsidP="009067A6">
      <w:pPr>
        <w:numPr>
          <w:ilvl w:val="0"/>
          <w:numId w:val="20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wyposażony w zasilanie redundantne minimum 1100W każdy</w:t>
      </w:r>
      <w:r>
        <w:rPr>
          <w:rFonts w:ascii="Acumin Pro" w:hAnsi="Acumin Pro" w:cs="Arial"/>
          <w:sz w:val="20"/>
          <w:szCs w:val="20"/>
        </w:rPr>
        <w:t>.</w:t>
      </w:r>
    </w:p>
    <w:p w14:paraId="3563576D" w14:textId="77777777" w:rsidR="009067A6" w:rsidRPr="009067A6" w:rsidRDefault="009067A6" w:rsidP="009067A6">
      <w:pPr>
        <w:numPr>
          <w:ilvl w:val="0"/>
          <w:numId w:val="21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być wyprodukowany zgodnie z normą ISO-9001:2015 oraz ISO-14001. </w:t>
      </w:r>
    </w:p>
    <w:p w14:paraId="3F1DC4F8" w14:textId="3819F9BB" w:rsidR="009067A6" w:rsidRPr="009067A6" w:rsidRDefault="009067A6" w:rsidP="009067A6">
      <w:pPr>
        <w:numPr>
          <w:ilvl w:val="0"/>
          <w:numId w:val="22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 musi posiadać deklaracj</w:t>
      </w:r>
      <w:r>
        <w:rPr>
          <w:rFonts w:ascii="Acumin Pro" w:hAnsi="Acumin Pro" w:cs="Arial"/>
          <w:sz w:val="20"/>
          <w:szCs w:val="20"/>
        </w:rPr>
        <w:t>ę</w:t>
      </w:r>
      <w:r w:rsidRPr="009067A6">
        <w:rPr>
          <w:rFonts w:ascii="Acumin Pro" w:hAnsi="Acumin Pro" w:cs="Arial"/>
          <w:sz w:val="20"/>
          <w:szCs w:val="20"/>
        </w:rPr>
        <w:t xml:space="preserve"> CE. </w:t>
      </w:r>
    </w:p>
    <w:p w14:paraId="741A25CC" w14:textId="3A1A9F81" w:rsidR="009067A6" w:rsidRPr="009067A6" w:rsidRDefault="009067A6" w:rsidP="009067A6">
      <w:pPr>
        <w:numPr>
          <w:ilvl w:val="0"/>
          <w:numId w:val="23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Serwer musi znajdować się na liście Windows Server </w:t>
      </w:r>
      <w:proofErr w:type="spellStart"/>
      <w:r w:rsidRPr="009067A6">
        <w:rPr>
          <w:rFonts w:ascii="Acumin Pro" w:hAnsi="Acumin Pro" w:cs="Arial"/>
          <w:sz w:val="20"/>
          <w:szCs w:val="20"/>
        </w:rPr>
        <w:t>Catalog</w:t>
      </w:r>
      <w:proofErr w:type="spellEnd"/>
      <w:r w:rsidRPr="009067A6">
        <w:rPr>
          <w:rFonts w:ascii="Acumin Pro" w:hAnsi="Acumin Pro" w:cs="Arial"/>
          <w:sz w:val="20"/>
          <w:szCs w:val="20"/>
        </w:rPr>
        <w:t xml:space="preserve"> i posiadać status „</w:t>
      </w:r>
      <w:proofErr w:type="spellStart"/>
      <w:r w:rsidRPr="009067A6">
        <w:rPr>
          <w:rFonts w:ascii="Acumin Pro" w:hAnsi="Acumin Pro" w:cs="Arial"/>
          <w:sz w:val="20"/>
          <w:szCs w:val="20"/>
        </w:rPr>
        <w:t>Certified</w:t>
      </w:r>
      <w:proofErr w:type="spellEnd"/>
      <w:r w:rsidRPr="009067A6">
        <w:rPr>
          <w:rFonts w:ascii="Acumin Pro" w:hAnsi="Acumin Pro" w:cs="Arial"/>
          <w:sz w:val="20"/>
          <w:szCs w:val="20"/>
        </w:rPr>
        <w:t xml:space="preserve"> for Windows” dla systemów</w:t>
      </w:r>
      <w:r w:rsidR="0023433A">
        <w:rPr>
          <w:rFonts w:ascii="Acumin Pro" w:hAnsi="Acumin Pro" w:cs="Arial"/>
          <w:sz w:val="20"/>
          <w:szCs w:val="20"/>
        </w:rPr>
        <w:t>:</w:t>
      </w:r>
      <w:r w:rsidRPr="009067A6">
        <w:rPr>
          <w:rFonts w:ascii="Acumin Pro" w:hAnsi="Acumin Pro" w:cs="Arial"/>
          <w:sz w:val="20"/>
          <w:szCs w:val="20"/>
        </w:rPr>
        <w:t xml:space="preserve"> Microsoft Windows 2019, Microsoft Windows 2022. </w:t>
      </w:r>
    </w:p>
    <w:p w14:paraId="2A28FCCB" w14:textId="4371E8DA" w:rsidR="009067A6" w:rsidRPr="009067A6" w:rsidRDefault="009067A6" w:rsidP="009067A6">
      <w:pPr>
        <w:numPr>
          <w:ilvl w:val="0"/>
          <w:numId w:val="24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Serwery muszą posiadać</w:t>
      </w:r>
      <w:r>
        <w:rPr>
          <w:rFonts w:ascii="Acumin Pro" w:hAnsi="Acumin Pro" w:cs="Arial"/>
          <w:sz w:val="20"/>
          <w:szCs w:val="20"/>
        </w:rPr>
        <w:t xml:space="preserve"> minimum</w:t>
      </w:r>
      <w:r w:rsidRPr="009067A6">
        <w:rPr>
          <w:rFonts w:ascii="Acumin Pro" w:hAnsi="Acumin Pro" w:cs="Arial"/>
          <w:sz w:val="20"/>
          <w:szCs w:val="20"/>
        </w:rPr>
        <w:t xml:space="preserve"> </w:t>
      </w:r>
      <w:r w:rsidR="00C43D82">
        <w:rPr>
          <w:rFonts w:ascii="Acumin Pro" w:hAnsi="Acumin Pro" w:cs="Arial"/>
          <w:sz w:val="20"/>
          <w:szCs w:val="20"/>
        </w:rPr>
        <w:t>36 miesięcy gwarancji</w:t>
      </w:r>
      <w:r w:rsidRPr="009067A6">
        <w:rPr>
          <w:rFonts w:ascii="Acumin Pro" w:hAnsi="Acumin Pro" w:cs="Arial"/>
          <w:sz w:val="20"/>
          <w:szCs w:val="20"/>
        </w:rPr>
        <w:t>, z czasem reakcji do następnego dnia roboczego od przyjęcia zgłoszenia, możliwość zgłaszania awarii 24x7x365 poprzez ogólnopolską linię telefoniczną producenta. </w:t>
      </w:r>
    </w:p>
    <w:p w14:paraId="463C3A33" w14:textId="79C989A1" w:rsidR="009067A6" w:rsidRPr="009067A6" w:rsidRDefault="009067A6" w:rsidP="00662A49">
      <w:pPr>
        <w:numPr>
          <w:ilvl w:val="0"/>
          <w:numId w:val="25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Możliwość sprawdzenia statusu gwarancji poprzez stronę producenta podając unikatowy numer urządzenia oraz pobieranie uaktualnień </w:t>
      </w:r>
      <w:proofErr w:type="spellStart"/>
      <w:r w:rsidRPr="009067A6">
        <w:rPr>
          <w:rFonts w:ascii="Acumin Pro" w:hAnsi="Acumin Pro" w:cs="Arial"/>
          <w:sz w:val="20"/>
          <w:szCs w:val="20"/>
        </w:rPr>
        <w:t>mikrokodu</w:t>
      </w:r>
      <w:proofErr w:type="spellEnd"/>
      <w:r w:rsidRPr="009067A6">
        <w:rPr>
          <w:rFonts w:ascii="Acumin Pro" w:hAnsi="Acumin Pro" w:cs="Arial"/>
          <w:sz w:val="20"/>
          <w:szCs w:val="20"/>
        </w:rPr>
        <w:t xml:space="preserve"> oraz sterowników nawet w przypadku wygaśnięcia gwarancji serwera</w:t>
      </w:r>
      <w:r>
        <w:rPr>
          <w:rFonts w:ascii="Acumin Pro" w:hAnsi="Acumin Pro" w:cs="Arial"/>
          <w:sz w:val="20"/>
          <w:szCs w:val="20"/>
        </w:rPr>
        <w:t>.</w:t>
      </w:r>
      <w:r w:rsidRPr="009067A6">
        <w:rPr>
          <w:rFonts w:ascii="Acumin Pro" w:hAnsi="Acumin Pro" w:cs="Arial"/>
          <w:sz w:val="20"/>
          <w:szCs w:val="20"/>
        </w:rPr>
        <w:t> </w:t>
      </w:r>
    </w:p>
    <w:p w14:paraId="0F918A87" w14:textId="77777777" w:rsidR="009067A6" w:rsidRPr="009067A6" w:rsidRDefault="009067A6" w:rsidP="00662A49">
      <w:pPr>
        <w:numPr>
          <w:ilvl w:val="0"/>
          <w:numId w:val="26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Serwer musi mieć dołączony system operacyjny Windows Data Center nie starszy niż 2022 pozwalający na licencjonowanie 16 </w:t>
      </w:r>
      <w:proofErr w:type="spellStart"/>
      <w:r w:rsidRPr="009067A6">
        <w:rPr>
          <w:rFonts w:ascii="Acumin Pro" w:hAnsi="Acumin Pro" w:cs="Arial"/>
          <w:sz w:val="20"/>
          <w:szCs w:val="20"/>
        </w:rPr>
        <w:t>core</w:t>
      </w:r>
      <w:proofErr w:type="spellEnd"/>
      <w:r w:rsidRPr="009067A6">
        <w:rPr>
          <w:rFonts w:ascii="Acumin Pro" w:hAnsi="Acumin Pro" w:cs="Arial"/>
          <w:sz w:val="20"/>
          <w:szCs w:val="20"/>
        </w:rPr>
        <w:t>. </w:t>
      </w:r>
    </w:p>
    <w:p w14:paraId="5D7C0D5F" w14:textId="77777777" w:rsidR="009067A6" w:rsidRPr="009067A6" w:rsidRDefault="009067A6" w:rsidP="00662A49">
      <w:pPr>
        <w:numPr>
          <w:ilvl w:val="0"/>
          <w:numId w:val="27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Zamawiający wymaga dokumentacji w języku polskim lub angi</w:t>
      </w:r>
      <w:r w:rsidRPr="009067A6">
        <w:rPr>
          <w:rFonts w:ascii="Acumin Pro" w:hAnsi="Acumin Pro" w:cs="Arial"/>
          <w:i/>
          <w:iCs/>
          <w:sz w:val="20"/>
          <w:szCs w:val="20"/>
        </w:rPr>
        <w:t>e</w:t>
      </w:r>
      <w:r w:rsidRPr="009067A6">
        <w:rPr>
          <w:rFonts w:ascii="Acumin Pro" w:hAnsi="Acumin Pro" w:cs="Arial"/>
          <w:sz w:val="20"/>
          <w:szCs w:val="20"/>
        </w:rPr>
        <w:t>lskim. </w:t>
      </w:r>
    </w:p>
    <w:p w14:paraId="7B19D56B" w14:textId="77777777" w:rsidR="009067A6" w:rsidRPr="009067A6" w:rsidRDefault="009067A6" w:rsidP="00662A49">
      <w:pPr>
        <w:numPr>
          <w:ilvl w:val="0"/>
          <w:numId w:val="2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Możliwość telefonicznego sprawdzenia konfiguracji sprzętowej serwera oraz warunków gwarancji po podaniu numeru seryjnego bezpośrednio u producenta lub jego przedstawiciela. </w:t>
      </w:r>
    </w:p>
    <w:p w14:paraId="4D0071AD" w14:textId="77777777" w:rsidR="009067A6" w:rsidRPr="009067A6" w:rsidRDefault="009067A6" w:rsidP="009067A6">
      <w:pPr>
        <w:rPr>
          <w:rFonts w:ascii="Acumin Pro" w:hAnsi="Acumin Pro" w:cs="Arial"/>
          <w:sz w:val="20"/>
          <w:szCs w:val="20"/>
        </w:rPr>
      </w:pPr>
    </w:p>
    <w:p w14:paraId="2515CCF2" w14:textId="77777777" w:rsidR="009067A6" w:rsidRPr="009067A6" w:rsidRDefault="009067A6" w:rsidP="00662A49">
      <w:pPr>
        <w:pStyle w:val="Akapitzlist"/>
        <w:numPr>
          <w:ilvl w:val="0"/>
          <w:numId w:val="29"/>
        </w:num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 xml:space="preserve">Macierz </w:t>
      </w:r>
    </w:p>
    <w:p w14:paraId="5064243F" w14:textId="77777777" w:rsidR="009067A6" w:rsidRPr="009067A6" w:rsidRDefault="009067A6" w:rsidP="009067A6">
      <w:pPr>
        <w:rPr>
          <w:rFonts w:ascii="Acumin Pro" w:hAnsi="Acumin Pro" w:cs="Arial"/>
          <w:sz w:val="20"/>
          <w:szCs w:val="20"/>
        </w:rPr>
      </w:pPr>
    </w:p>
    <w:p w14:paraId="2CCF77E7" w14:textId="77777777" w:rsidR="009067A6" w:rsidRPr="009067A6" w:rsidRDefault="009067A6" w:rsidP="009067A6">
      <w:p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Wymagania dotyczące macierzy:</w:t>
      </w:r>
    </w:p>
    <w:p w14:paraId="2E37ABCA" w14:textId="77777777" w:rsidR="009067A6" w:rsidRPr="009067A6" w:rsidRDefault="009067A6" w:rsidP="00662A49">
      <w:pPr>
        <w:jc w:val="both"/>
        <w:rPr>
          <w:rFonts w:ascii="Acumin Pro" w:hAnsi="Acumin Pro" w:cs="Arial"/>
          <w:sz w:val="20"/>
          <w:szCs w:val="20"/>
        </w:rPr>
      </w:pPr>
    </w:p>
    <w:p w14:paraId="28C63A2D" w14:textId="77777777" w:rsidR="009067A6" w:rsidRPr="009067A6" w:rsidRDefault="009067A6" w:rsidP="00662A49">
      <w:pPr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umożliwiać instalację w standardowej szafie RACK 19”. </w:t>
      </w:r>
    </w:p>
    <w:p w14:paraId="57B2A95D" w14:textId="43B1D92D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mieć możliwość instalacji kombinacji poniższych nośników dyskowych w ramach jednej obudowy podstawowej (zawierającej kontrolery): Flash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lub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SSD.</w:t>
      </w:r>
    </w:p>
    <w:p w14:paraId="18E57E93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7C182687" w14:textId="37357E1B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Możliwość zainstalowania co najmniej 12 dysków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o rozmiarze 2,5”. </w:t>
      </w:r>
    </w:p>
    <w:p w14:paraId="4BAE8C94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458B0FC4" w14:textId="11AB6FFF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Kontrolery macierzowe muszą komunikować się z nośnikami dyskowymi umieszczonymi w obudowie podstawowej (zawierającej kontrolery) wyłącznie z użyciem protokołu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. </w:t>
      </w:r>
    </w:p>
    <w:p w14:paraId="4C85F6F5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02E89C76" w14:textId="75355CA6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być zbudowana z minimum dwóch kontrolerów pracujących w trybie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active-active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lub dual-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active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.</w:t>
      </w:r>
    </w:p>
    <w:p w14:paraId="231435AB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30C70E92" w14:textId="1FF4D000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umożliwiać wykonywanie procesu aktualizacji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mikrokodu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macierzy w trybie online bez przerywania dostępu do zasobów dyskowych macierzy i przerywania pracy aplikacji.</w:t>
      </w:r>
    </w:p>
    <w:p w14:paraId="0DDC438E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5F86B741" w14:textId="361ECC0C" w:rsidR="009067A6" w:rsidRPr="00492947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FF0000"/>
          <w:sz w:val="20"/>
          <w:szCs w:val="20"/>
        </w:rPr>
      </w:pPr>
      <w:r w:rsidRPr="00492947">
        <w:rPr>
          <w:rFonts w:ascii="Acumin Pro" w:eastAsia="Calibri" w:hAnsi="Acumin Pro" w:cs="Arial"/>
          <w:strike/>
          <w:color w:val="FF0000"/>
          <w:sz w:val="20"/>
          <w:szCs w:val="20"/>
        </w:rPr>
        <w:t>Architektura macierzy ma być oparta o sprawdzone i powszechnie dostępne procesory technologii x86/x64</w:t>
      </w:r>
      <w:r w:rsidRPr="00492947">
        <w:rPr>
          <w:rFonts w:ascii="Acumin Pro" w:eastAsia="Calibri" w:hAnsi="Acumin Pro" w:cs="Arial"/>
          <w:color w:val="FF0000"/>
          <w:sz w:val="20"/>
          <w:szCs w:val="20"/>
        </w:rPr>
        <w:t>.</w:t>
      </w:r>
      <w:r w:rsidR="00492947" w:rsidRPr="00492947">
        <w:rPr>
          <w:rFonts w:ascii="Acumin Pro" w:eastAsia="Calibri" w:hAnsi="Acumin Pro" w:cs="Arial"/>
          <w:color w:val="FF0000"/>
          <w:sz w:val="20"/>
          <w:szCs w:val="20"/>
        </w:rPr>
        <w:t xml:space="preserve"> (usunięte </w:t>
      </w:r>
      <w:r w:rsidR="00F800FE">
        <w:rPr>
          <w:rFonts w:ascii="Acumin Pro" w:eastAsia="Calibri" w:hAnsi="Acumin Pro" w:cs="Arial"/>
          <w:color w:val="FF0000"/>
          <w:sz w:val="20"/>
          <w:szCs w:val="20"/>
        </w:rPr>
        <w:t>20</w:t>
      </w:r>
      <w:r w:rsidR="00492947" w:rsidRPr="00492947">
        <w:rPr>
          <w:rFonts w:ascii="Acumin Pro" w:eastAsia="Calibri" w:hAnsi="Acumin Pro" w:cs="Arial"/>
          <w:color w:val="FF0000"/>
          <w:sz w:val="20"/>
          <w:szCs w:val="20"/>
        </w:rPr>
        <w:t>.09.2024 r.).</w:t>
      </w:r>
    </w:p>
    <w:p w14:paraId="090C2D30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4E311CA4" w14:textId="52BBC6A1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Wszystkie krytyczne komponenty macierzy takie jak: kontrolery dyskowe, pamięć cache, zasilacze i wentylatory muszą być zdublowane tak, aby awaria pojedynczego elementu nie wpływała na funkcjonowanie całego systemu. Komponenty te muszą być wymienialne w trakcie pracy macierzy (hot-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swap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).</w:t>
      </w:r>
    </w:p>
    <w:p w14:paraId="43DC4039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4D24AC39" w14:textId="0CC865D6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Wsparcie dla zasilania z dwóch niezależnych źródeł prądu poprzez nadmiarowe zasilacze typu Hot-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Swap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.</w:t>
      </w:r>
    </w:p>
    <w:p w14:paraId="75E99ABD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12EFEF16" w14:textId="0DF94521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umożliwiać zarządzanie za pomocą interfejsu Ethernet. Możliwość zarządzania całością dostępnych zasobów dyskowych z jednej konsoli administracyjnej.</w:t>
      </w:r>
    </w:p>
    <w:p w14:paraId="0BAD9965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19B3D372" w14:textId="0061FC7A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Funkcjonalność bezpośredniego monitoringu stanu w jakim w danym momencie macierz się znajduje.</w:t>
      </w:r>
    </w:p>
    <w:p w14:paraId="380AFEE0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22C37596" w14:textId="5D8C080E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Urządzenie musi być zarządzane z jednego wbudowanego w macierz interfejsu GUI (interfejs graficzny), CLI (interfejs tekstowy) oraz zapewniać możliwość tworzenia skryptów użytkownika. Interfejs ten musi być natywnie dostępny na macierzy, bez zastosowania zewnętrznych urządzeń.</w:t>
      </w:r>
    </w:p>
    <w:p w14:paraId="7946EF82" w14:textId="77777777" w:rsidR="009067A6" w:rsidRPr="009067A6" w:rsidRDefault="009067A6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3F82C5AC" w14:textId="790A6E85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Dostarczona pojemność użyteczna, z uwzględnieniem RAID-6 lub równoważnego oraz z przeznaczeniem minimum 2 dysków na awarię (“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spare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”), nie może mieć pojemności mniejszej niż 25 TB. Musi być zbudowana wyłącznie w oparciu o nośniki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Flash lub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SSD bez uwzględnienia technik redukcji danych takich jak kompresja itp. Macierz musi posiadać możliwość zapełnienia całej dostarczonej przestrzeni. Jeśli macierz pozwala na zapełnienie tylko części przestrzeni (np. 80%) to pozostająca, niewykorzystana przestrzeń nie będzie wliczana w dostarczoną przestrzeń.</w:t>
      </w:r>
    </w:p>
    <w:p w14:paraId="26D49F72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16E62A95" w14:textId="24CF463D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pozwalać na alokację 99% pojemności dysków bez spadku wydajności macierzy (brak zwiększonego czasu odpowiedzi, brak spadku przepustowości macierzy). Wydajność macierzy musi być niezależna od poziomu alokacji przestrzeni macierzy w zakresie od 0% alokacji do wartości wymaganej pojemności dysków. Jeżeli oferowane rozwiązanie nie spełnia opisanego wymagania należy dostarczyć co najmniej 20% pojemności więcej.</w:t>
      </w:r>
    </w:p>
    <w:p w14:paraId="3EC662C9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16FC5A77" w14:textId="5BC87D94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posiadać niemniej niż 8 portów FC 32Gb/s na macierz.</w:t>
      </w:r>
    </w:p>
    <w:p w14:paraId="02C2CEAA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6A2753E1" w14:textId="09460EB8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obsługiwać poziomy: RAID1, RAID5 i RAID6 i zapewniać zabezpieczenie przed awarią dwóch dysków jednocześnie w ramach jednej grupy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raid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(dyski typu „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spare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”).</w:t>
      </w:r>
    </w:p>
    <w:p w14:paraId="6610C07A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01C9D7FA" w14:textId="711E87FA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Dyski/przestrzeń "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spare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" muszą zostać skonfigurowane/dostarczone w ilości/pojemności zgodnej z udokumentowanymi rekomendacjami producenta oferowanej macierzy.</w:t>
      </w:r>
    </w:p>
    <w:p w14:paraId="3B537D14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376F4140" w14:textId="0CF23A77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posiadać wbudowane sprzętowo na nośnikach dyskowych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NVMe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szyfrowanie AES-256.</w:t>
      </w:r>
    </w:p>
    <w:p w14:paraId="43EF323A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42270D44" w14:textId="586AE181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mieć możliwość obsługi min</w:t>
      </w:r>
      <w:r w:rsidR="00662A49">
        <w:rPr>
          <w:rFonts w:ascii="Acumin Pro" w:eastAsia="Calibri" w:hAnsi="Acumin Pro" w:cs="Arial"/>
          <w:color w:val="000000" w:themeColor="text1"/>
          <w:sz w:val="20"/>
          <w:szCs w:val="20"/>
        </w:rPr>
        <w:t>imum</w:t>
      </w: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200 dysków poprzez dodanie półek rozszerzeń. Macierz musi mieć możliwość rozbudowy poprzez dodanie pojedynczego dysku, dodanie kontrolerów oraz półek dyskowych.</w:t>
      </w:r>
    </w:p>
    <w:p w14:paraId="1759EA6E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6F34D273" w14:textId="6F834C42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Niezależnie od zastosowanych nośników danych, macierz musi umożliwiać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granularną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rozbudowę grupy RAID w zakresie od co najmniej od 1 do 12 nośników dyskowych, proces rozbudowy nie może powodować niedostępności do danych.</w:t>
      </w:r>
    </w:p>
    <w:p w14:paraId="085E22AC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587A836E" w14:textId="131CB77D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być wyposażona w minimum 2 kontrolery dyskowe z możliwością rozbudowy do minimum 4 kontrolerów. Każdy z kontrolerów musi udostępniać co najmniej 96GB pamięci Cache.</w:t>
      </w:r>
    </w:p>
    <w:p w14:paraId="5DAE59F9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6F110453" w14:textId="15407E56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posiadać funkcjonalność separacji przestrzeni dyskowych pomiędzy różnymi podłączonymi hostami.</w:t>
      </w:r>
    </w:p>
    <w:p w14:paraId="128580CC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7ADFDD88" w14:textId="1776496D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posiadać funkcjonalność dynamicznego zwiększania rozmiaru wolumenów.</w:t>
      </w:r>
    </w:p>
    <w:p w14:paraId="7A65C431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7942B47F" w14:textId="5E849F7C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posiadać funkcjonalność zarządzania maksymalną ilością operacji wejścia / wyjścia wykonywanych na danym wolumenie - zarządzanie musi być możliwe zarówno poprzez określenie ilości operacji I/O na sekundę jak również przepustowości określonej w MB/s.</w:t>
      </w:r>
    </w:p>
    <w:p w14:paraId="63995ECB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0F13635A" w14:textId="1601216C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mieć możliwość kompresji i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deduplikacji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dla wszystkich rodzajów dysków w trybie "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inline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". Licencja na tą funkcjonalność musi być zawarta w cenie i musi obejmować zaoferowaną w ramach macierzy przestrzeń dyskową.</w:t>
      </w:r>
    </w:p>
    <w:p w14:paraId="7AE4EA1A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75D726DE" w14:textId="21FA8328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Zaoferowane rozwiązanie musi posiadać możliwość implementacji klastra wysokiej dostępności. W ramach architektury klastra wysokiej dostępności musi być wspierane bezprzerwowe migrowanie maszyn wirtualnych pomiędzy ośrodkami. W przypadku awarii jednej z macierzy nastąpi bezprzerwowe przełączenie do lokalizacji zapasowej. Powyższa funkcjonalność musi być realizowana niezależnie od systemu operacyjnego na poziomie przełączania ścieżek do urządzenia logicznego. Licencja na tą funkcjonalność musi być zawarta w cenie i musi obejmować zaoferowaną w ramach macierzy przestrzeń dyskową.</w:t>
      </w:r>
    </w:p>
    <w:p w14:paraId="16DC2A2F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59FB152C" w14:textId="1F6C8094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optymalizować wykorzystanie dysków SSD/ modułów Flash/ HDD, tak aby w ramach tego samego rodzaju dysków (pojemności/prędkości) wszystkie grupy dysków były wykorzystywane w równym stopniu. Licencja na tą funkcjonalność musi być zawarta w cenie i musi obejmować całą oferowaną pojemność macierzy.</w:t>
      </w:r>
    </w:p>
    <w:p w14:paraId="208D6956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10682303" w14:textId="6C0ECB3A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umożliwiać stworzenie mirrorowanych LUN pomiędzy różnymi macierzami, dla których awaria jednej kopii lustra musi być niezauważalna dla systemu hosta.</w:t>
      </w:r>
    </w:p>
    <w:p w14:paraId="5F3467C8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0613DE65" w14:textId="0E28F3A7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obsługiwać funkcjonalność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thin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provisioning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dla wszystkich wolumenów. Należy dostarczyć licencję umożliwiającą korzystanie z funkcji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thin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provisioning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na całą oferowaną pojemność macierzy.</w:t>
      </w:r>
    </w:p>
    <w:p w14:paraId="3B661248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434773ED" w14:textId="769EBCC1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Macierz musi posiadać możliwość tworzenia kopii migawkowych w trybie WORM (Write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Once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 Read Many). Kopie powinny być tworzone za pomocą harmonogramu i mieć możliwość ustawienia retencji kopii, po upłynięciu której kopia automatycznie zostanie usunięta z macierzy.</w:t>
      </w:r>
    </w:p>
    <w:p w14:paraId="42BC2E6D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27371D85" w14:textId="484DDE3E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mieć możliwość wykonywania replikacji synchronicznej i asynchronicznej wolumenów logicznych pomiędzy różnymi typami macierzy dyskowych. Zasoby źródłowe kopii zdalnej oraz docelowe kopii zdalnej mogą być zabezpieczone różnymi poziomami RAID i egzystować na różnych technologicznie dyskach stałych (SAS, SSD). Licencja na tą funkcjonalność musi być zawarta w cenie i musi obejmować zaoferowaną w ramach macierzy przestrzeń dyskową.</w:t>
      </w:r>
    </w:p>
    <w:p w14:paraId="2189AC4F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6E53D7C6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087449AB" w14:textId="1A1EA62E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Macierz musi być nowa, nigdy wcześniej nie używana i pochodzić z autoryzowanego kanału dystrybucji producenta a także być objęta serwisem producenta na terenie Polski.</w:t>
      </w:r>
    </w:p>
    <w:p w14:paraId="24D9EEE1" w14:textId="77777777" w:rsidR="00662A49" w:rsidRPr="009067A6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703ACA22" w14:textId="57AE021B" w:rsid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lastRenderedPageBreak/>
        <w:t xml:space="preserve">Wsparcie systemów operacyjnych Macierz musi być wspierana przez systemy operacyjne i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wirtualizatory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: MS Windows Server, Vmware, Linux, </w:t>
      </w:r>
      <w:proofErr w:type="spellStart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Proxmox</w:t>
      </w:r>
      <w:proofErr w:type="spellEnd"/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.</w:t>
      </w:r>
    </w:p>
    <w:p w14:paraId="4268920F" w14:textId="77777777" w:rsidR="00662A49" w:rsidRPr="00662A49" w:rsidRDefault="00662A49" w:rsidP="00662A49">
      <w:pPr>
        <w:pStyle w:val="Akapitzlist"/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</w:p>
    <w:p w14:paraId="1A697037" w14:textId="0CA3669D" w:rsidR="009067A6" w:rsidRPr="009067A6" w:rsidRDefault="009067A6" w:rsidP="00662A49">
      <w:pPr>
        <w:pStyle w:val="Akapitzlist"/>
        <w:numPr>
          <w:ilvl w:val="0"/>
          <w:numId w:val="30"/>
        </w:numPr>
        <w:jc w:val="both"/>
        <w:rPr>
          <w:rFonts w:ascii="Acumin Pro" w:eastAsia="Calibri" w:hAnsi="Acumin Pro" w:cs="Arial"/>
          <w:color w:val="000000" w:themeColor="text1"/>
          <w:sz w:val="20"/>
          <w:szCs w:val="20"/>
        </w:rPr>
      </w:pP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Wymagana jest gwarancja świadczona w trybie 24 godziny przez 7 dni w tygodniu na wszystkie elementy macierzy (sprzęt oraz oprogramowanie) na okres </w:t>
      </w:r>
      <w:r w:rsidR="00662A49">
        <w:rPr>
          <w:rFonts w:ascii="Acumin Pro" w:eastAsia="Calibri" w:hAnsi="Acumin Pro" w:cs="Arial"/>
          <w:color w:val="000000" w:themeColor="text1"/>
          <w:sz w:val="20"/>
          <w:szCs w:val="20"/>
        </w:rPr>
        <w:t xml:space="preserve">minimum </w:t>
      </w:r>
      <w:r w:rsidR="00C43D82">
        <w:rPr>
          <w:rFonts w:ascii="Acumin Pro" w:eastAsia="Calibri" w:hAnsi="Acumin Pro" w:cs="Arial"/>
          <w:color w:val="000000" w:themeColor="text1"/>
          <w:sz w:val="20"/>
          <w:szCs w:val="20"/>
        </w:rPr>
        <w:t>36 miesięcy</w:t>
      </w:r>
      <w:r w:rsidRPr="009067A6">
        <w:rPr>
          <w:rFonts w:ascii="Acumin Pro" w:eastAsia="Calibri" w:hAnsi="Acumin Pro" w:cs="Arial"/>
          <w:color w:val="000000" w:themeColor="text1"/>
          <w:sz w:val="20"/>
          <w:szCs w:val="20"/>
        </w:rPr>
        <w:t>. Usługi serwisowe będą świadczone przez producenta oferowanego sprzętu. Gwarantowany czas reakcji – następny dzień roboczy. </w:t>
      </w:r>
    </w:p>
    <w:p w14:paraId="5A02BD2E" w14:textId="77777777" w:rsidR="009067A6" w:rsidRPr="009067A6" w:rsidRDefault="009067A6" w:rsidP="009067A6">
      <w:pPr>
        <w:rPr>
          <w:rFonts w:ascii="Acumin Pro" w:hAnsi="Acumin Pro" w:cs="Arial"/>
          <w:sz w:val="20"/>
          <w:szCs w:val="20"/>
        </w:rPr>
      </w:pPr>
    </w:p>
    <w:p w14:paraId="36206753" w14:textId="5536AD40" w:rsidR="009067A6" w:rsidRDefault="009067A6" w:rsidP="00662A49">
      <w:pPr>
        <w:pStyle w:val="Akapitzlist"/>
        <w:numPr>
          <w:ilvl w:val="0"/>
          <w:numId w:val="29"/>
        </w:num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Klaster HA</w:t>
      </w:r>
    </w:p>
    <w:p w14:paraId="2DA15D32" w14:textId="77777777" w:rsidR="009067A6" w:rsidRPr="009067A6" w:rsidRDefault="009067A6" w:rsidP="009067A6">
      <w:pPr>
        <w:pStyle w:val="Akapitzlist"/>
        <w:rPr>
          <w:rFonts w:ascii="Acumin Pro" w:hAnsi="Acumin Pro" w:cs="Arial"/>
          <w:b/>
          <w:bCs/>
          <w:sz w:val="20"/>
          <w:szCs w:val="20"/>
        </w:rPr>
      </w:pPr>
    </w:p>
    <w:p w14:paraId="7A18B5E8" w14:textId="77777777" w:rsidR="009067A6" w:rsidRPr="009067A6" w:rsidRDefault="009067A6" w:rsidP="00662A49">
      <w:p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Zamawiający poza dostarczeniem urządzeń w postaci trzech serwerów oraz macierzy serwerowej wymaga: </w:t>
      </w:r>
    </w:p>
    <w:p w14:paraId="36B00DC8" w14:textId="77777777" w:rsidR="009067A6" w:rsidRPr="009067A6" w:rsidRDefault="009067A6" w:rsidP="00662A49">
      <w:pPr>
        <w:numPr>
          <w:ilvl w:val="0"/>
          <w:numId w:val="31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Skonfigurowania klastra wysokiej dostępności z dostarczonych urządzeń. </w:t>
      </w:r>
    </w:p>
    <w:p w14:paraId="1B0D75B2" w14:textId="77777777" w:rsidR="009067A6" w:rsidRPr="009067A6" w:rsidRDefault="009067A6" w:rsidP="00662A49">
      <w:pPr>
        <w:numPr>
          <w:ilvl w:val="0"/>
          <w:numId w:val="32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Zainstalowania na klastrze wysokiej dostępności systemu </w:t>
      </w:r>
      <w:proofErr w:type="spellStart"/>
      <w:r w:rsidRPr="009067A6">
        <w:rPr>
          <w:rFonts w:ascii="Acumin Pro" w:hAnsi="Acumin Pro" w:cs="Arial"/>
          <w:sz w:val="20"/>
          <w:szCs w:val="20"/>
        </w:rPr>
        <w:t>Proxmox</w:t>
      </w:r>
      <w:proofErr w:type="spellEnd"/>
      <w:r w:rsidRPr="009067A6">
        <w:rPr>
          <w:rFonts w:ascii="Acumin Pro" w:hAnsi="Acumin Pro" w:cs="Arial"/>
          <w:sz w:val="20"/>
          <w:szCs w:val="20"/>
        </w:rPr>
        <w:t xml:space="preserve"> Virtual Environment wraz wstępną konfiguracją oprogramowania. </w:t>
      </w:r>
    </w:p>
    <w:p w14:paraId="6E68DE71" w14:textId="246A5CBD" w:rsidR="009067A6" w:rsidRDefault="009067A6" w:rsidP="00662A49">
      <w:pPr>
        <w:numPr>
          <w:ilvl w:val="0"/>
          <w:numId w:val="33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Przeszkolenia zespołu Zamawiającego z instalacji, konfiguracji i działania zainstalowanego systemu. </w:t>
      </w:r>
    </w:p>
    <w:p w14:paraId="1F748C4A" w14:textId="77777777" w:rsidR="009067A6" w:rsidRPr="009067A6" w:rsidRDefault="009067A6" w:rsidP="009067A6">
      <w:pPr>
        <w:ind w:left="720"/>
        <w:rPr>
          <w:rFonts w:ascii="Acumin Pro" w:hAnsi="Acumin Pro" w:cs="Arial"/>
          <w:sz w:val="20"/>
          <w:szCs w:val="20"/>
        </w:rPr>
      </w:pPr>
    </w:p>
    <w:p w14:paraId="205A023A" w14:textId="77777777" w:rsidR="009067A6" w:rsidRPr="009067A6" w:rsidRDefault="009067A6" w:rsidP="00662A49">
      <w:pPr>
        <w:pStyle w:val="Akapitzlist"/>
        <w:numPr>
          <w:ilvl w:val="0"/>
          <w:numId w:val="29"/>
        </w:num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UPS</w:t>
      </w:r>
    </w:p>
    <w:p w14:paraId="7AF82395" w14:textId="77777777" w:rsidR="009067A6" w:rsidRPr="009067A6" w:rsidRDefault="009067A6" w:rsidP="00662A49">
      <w:p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Zamawiający wymaga dostarczenia dwóch zasilaczy awaryjnych UPS tego samego producenta oraz tego samego modelu spełniających poniższe wymagania </w:t>
      </w:r>
    </w:p>
    <w:p w14:paraId="0018DB5B" w14:textId="77777777" w:rsidR="00662A49" w:rsidRDefault="00662A49" w:rsidP="009067A6">
      <w:pPr>
        <w:rPr>
          <w:rFonts w:ascii="Acumin Pro" w:hAnsi="Acumin Pro" w:cs="Arial"/>
          <w:b/>
          <w:bCs/>
          <w:sz w:val="20"/>
          <w:szCs w:val="20"/>
        </w:rPr>
      </w:pPr>
    </w:p>
    <w:p w14:paraId="1108EDF1" w14:textId="4F335A37" w:rsidR="009067A6" w:rsidRPr="009067A6" w:rsidRDefault="009067A6" w:rsidP="009067A6">
      <w:pPr>
        <w:rPr>
          <w:rFonts w:ascii="Acumin Pro" w:hAnsi="Acumin Pro" w:cs="Arial"/>
          <w:b/>
          <w:bCs/>
          <w:sz w:val="20"/>
          <w:szCs w:val="20"/>
        </w:rPr>
      </w:pPr>
      <w:r w:rsidRPr="009067A6">
        <w:rPr>
          <w:rFonts w:ascii="Acumin Pro" w:hAnsi="Acumin Pro" w:cs="Arial"/>
          <w:b/>
          <w:bCs/>
          <w:sz w:val="20"/>
          <w:szCs w:val="20"/>
        </w:rPr>
        <w:t>Wymagania dotyczące UPS:</w:t>
      </w:r>
    </w:p>
    <w:p w14:paraId="0693EBA8" w14:textId="2A971872" w:rsidR="009067A6" w:rsidRPr="00D16E8F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color w:val="FF0000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napięcie wejściowe 400 V (3f+N+PE)</w:t>
      </w:r>
      <w:r w:rsidR="001E3A84">
        <w:rPr>
          <w:rFonts w:ascii="Acumin Pro" w:hAnsi="Acumin Pro" w:cs="Arial"/>
          <w:sz w:val="20"/>
          <w:szCs w:val="20"/>
        </w:rPr>
        <w:t xml:space="preserve"> </w:t>
      </w:r>
      <w:r w:rsidR="001E3A84" w:rsidRPr="00D16E8F">
        <w:rPr>
          <w:rFonts w:ascii="Acumin Pro" w:hAnsi="Acumin Pro" w:cs="Arial"/>
          <w:color w:val="FF0000"/>
          <w:sz w:val="20"/>
          <w:szCs w:val="20"/>
        </w:rPr>
        <w:t>+/- 20% (zmiana 23.09.2024).</w:t>
      </w:r>
    </w:p>
    <w:p w14:paraId="73C43BFC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UPS musi zapewniać częstotliwość wejściową pomiędzy 40 a 70 </w:t>
      </w:r>
      <w:proofErr w:type="spellStart"/>
      <w:r w:rsidRPr="009067A6">
        <w:rPr>
          <w:rFonts w:ascii="Acumin Pro" w:hAnsi="Acumin Pro" w:cs="Arial"/>
          <w:sz w:val="20"/>
          <w:szCs w:val="20"/>
        </w:rPr>
        <w:t>Hz</w:t>
      </w:r>
      <w:proofErr w:type="spellEnd"/>
      <w:r w:rsidRPr="009067A6">
        <w:rPr>
          <w:rFonts w:ascii="Acumin Pro" w:hAnsi="Acumin Pro" w:cs="Arial"/>
          <w:sz w:val="20"/>
          <w:szCs w:val="20"/>
        </w:rPr>
        <w:t>.</w:t>
      </w:r>
    </w:p>
    <w:p w14:paraId="6FA61415" w14:textId="237478C4" w:rsidR="00843EC9" w:rsidRPr="00F857B4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bookmarkStart w:id="0" w:name="_Hlk177638153"/>
      <w:r w:rsidRPr="00F857B4">
        <w:rPr>
          <w:rFonts w:ascii="Acumin Pro" w:hAnsi="Acumin Pro" w:cs="Arial"/>
          <w:sz w:val="20"/>
          <w:szCs w:val="20"/>
        </w:rPr>
        <w:t xml:space="preserve">UPS musi zapewniać zakres napięcia wejściowego </w:t>
      </w:r>
      <w:r w:rsidR="00843EC9" w:rsidRPr="00F857B4">
        <w:rPr>
          <w:rFonts w:ascii="Acumin Pro" w:hAnsi="Acumin Pro" w:cs="DejaVuSansCondensed"/>
          <w:color w:val="FF0000"/>
          <w:sz w:val="20"/>
          <w:szCs w:val="20"/>
          <w:lang w:eastAsia="pl-PL"/>
        </w:rPr>
        <w:t>od 305 – 312 do 467 – 475</w:t>
      </w:r>
      <w:r w:rsidR="00F857B4">
        <w:rPr>
          <w:rFonts w:ascii="Acumin Pro" w:hAnsi="Acumin Pro" w:cs="DejaVuSansCondensed"/>
          <w:color w:val="FF0000"/>
          <w:sz w:val="20"/>
          <w:szCs w:val="20"/>
          <w:lang w:eastAsia="pl-PL"/>
        </w:rPr>
        <w:t xml:space="preserve"> (zmiana 20.09.2024r.)</w:t>
      </w:r>
      <w:r w:rsidR="00843EC9" w:rsidRPr="00F857B4">
        <w:rPr>
          <w:rFonts w:ascii="Acumin Pro" w:hAnsi="Acumin Pro" w:cs="DejaVuSansCondensed"/>
          <w:color w:val="FF0000"/>
          <w:sz w:val="20"/>
          <w:szCs w:val="20"/>
          <w:lang w:eastAsia="pl-PL"/>
        </w:rPr>
        <w:t xml:space="preserve"> </w:t>
      </w:r>
      <w:r w:rsidR="00843EC9" w:rsidRPr="00F857B4">
        <w:rPr>
          <w:rFonts w:ascii="Acumin Pro" w:hAnsi="Acumin Pro" w:cs="DejaVuSansCondensed"/>
          <w:sz w:val="20"/>
          <w:szCs w:val="20"/>
          <w:lang w:eastAsia="pl-PL"/>
        </w:rPr>
        <w:t xml:space="preserve">f-f przy obciążeniu 100% oraz </w:t>
      </w:r>
      <w:r w:rsidR="00843EC9" w:rsidRPr="00F857B4">
        <w:rPr>
          <w:rFonts w:ascii="Acumin Pro" w:hAnsi="Acumin Pro" w:cs="DejaVuSansCondensed"/>
          <w:color w:val="FF0000"/>
          <w:sz w:val="20"/>
          <w:szCs w:val="20"/>
          <w:lang w:eastAsia="pl-PL"/>
        </w:rPr>
        <w:t>od 173 – 208 do 467 – 475</w:t>
      </w:r>
      <w:r w:rsidR="00F857B4">
        <w:rPr>
          <w:rFonts w:ascii="Acumin Pro" w:hAnsi="Acumin Pro" w:cs="DejaVuSansCondensed"/>
          <w:color w:val="FF0000"/>
          <w:sz w:val="20"/>
          <w:szCs w:val="20"/>
          <w:lang w:eastAsia="pl-PL"/>
        </w:rPr>
        <w:t xml:space="preserve"> (zmiana 20.09.2024r.)</w:t>
      </w:r>
      <w:r w:rsidR="00843EC9" w:rsidRPr="00F857B4">
        <w:rPr>
          <w:rFonts w:ascii="Acumin Pro" w:hAnsi="Acumin Pro" w:cs="DejaVuSansCondensed"/>
          <w:color w:val="FF0000"/>
          <w:sz w:val="20"/>
          <w:szCs w:val="20"/>
          <w:lang w:eastAsia="pl-PL"/>
        </w:rPr>
        <w:t xml:space="preserve"> </w:t>
      </w:r>
      <w:r w:rsidR="00843EC9" w:rsidRPr="00F857B4">
        <w:rPr>
          <w:rFonts w:ascii="Acumin Pro" w:hAnsi="Acumin Pro" w:cs="DejaVuSansCondensed"/>
          <w:sz w:val="20"/>
          <w:szCs w:val="20"/>
          <w:lang w:eastAsia="pl-PL"/>
        </w:rPr>
        <w:t xml:space="preserve">f-f przy obciążeniu 50% (zmiana </w:t>
      </w:r>
      <w:r w:rsidR="00F800FE" w:rsidRPr="00F857B4">
        <w:rPr>
          <w:rFonts w:ascii="Acumin Pro" w:hAnsi="Acumin Pro" w:cs="DejaVuSansCondensed"/>
          <w:sz w:val="20"/>
          <w:szCs w:val="20"/>
          <w:lang w:eastAsia="pl-PL"/>
        </w:rPr>
        <w:t>20</w:t>
      </w:r>
      <w:r w:rsidR="00843EC9" w:rsidRPr="00F857B4">
        <w:rPr>
          <w:rFonts w:ascii="Acumin Pro" w:hAnsi="Acumin Pro" w:cs="DejaVuSansCondensed"/>
          <w:sz w:val="20"/>
          <w:szCs w:val="20"/>
          <w:lang w:eastAsia="pl-PL"/>
        </w:rPr>
        <w:t xml:space="preserve">.09.2024 r. ) </w:t>
      </w:r>
    </w:p>
    <w:bookmarkEnd w:id="0"/>
    <w:p w14:paraId="4ADDF328" w14:textId="3C1E40BB" w:rsidR="009067A6" w:rsidRPr="00843EC9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843EC9">
        <w:rPr>
          <w:rFonts w:ascii="Acumin Pro" w:hAnsi="Acumin Pro" w:cs="Arial"/>
          <w:sz w:val="20"/>
          <w:szCs w:val="20"/>
        </w:rPr>
        <w:t>UPS musi zapewniać THD prądu wejściowego mniejszy niż 5% przy obciążeniu 100%.</w:t>
      </w:r>
    </w:p>
    <w:p w14:paraId="3FC62F7B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być kompatybilny z generatorami.</w:t>
      </w:r>
    </w:p>
    <w:p w14:paraId="31185561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0,99 współczynnika mocy na wejściu.</w:t>
      </w:r>
    </w:p>
    <w:p w14:paraId="0D903FF6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napięcie wyjściowego na poziomie 380, 400, 415 V (3f+N+PE).</w:t>
      </w:r>
    </w:p>
    <w:p w14:paraId="71F26C0C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UPS musi zapewniać częstotliwość wyjściową pomiędzy 50 a 60 </w:t>
      </w:r>
      <w:proofErr w:type="spellStart"/>
      <w:r w:rsidRPr="009067A6">
        <w:rPr>
          <w:rFonts w:ascii="Acumin Pro" w:hAnsi="Acumin Pro" w:cs="Arial"/>
          <w:sz w:val="20"/>
          <w:szCs w:val="20"/>
        </w:rPr>
        <w:t>Hz</w:t>
      </w:r>
      <w:proofErr w:type="spellEnd"/>
      <w:r w:rsidRPr="009067A6">
        <w:rPr>
          <w:rFonts w:ascii="Acumin Pro" w:hAnsi="Acumin Pro" w:cs="Arial"/>
          <w:sz w:val="20"/>
          <w:szCs w:val="20"/>
        </w:rPr>
        <w:t>.</w:t>
      </w:r>
    </w:p>
    <w:p w14:paraId="7C280496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THD napięcia wyjściowego na poziomie nie większym niż 2% przy pełnym obciążeniu liniowym. </w:t>
      </w:r>
    </w:p>
    <w:p w14:paraId="2644F4FE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posiadać wbudowany automatyczny by-pass serwisowy statyczny oraz automatyczny.</w:t>
      </w:r>
    </w:p>
    <w:p w14:paraId="3E77698C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wyjściową moc czynną na poziomie minimum 20 000W.</w:t>
      </w:r>
    </w:p>
    <w:p w14:paraId="0618FF52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wyjściową moc pozorną na poziomie nie mniejszym niż 20 000 VA.</w:t>
      </w:r>
    </w:p>
    <w:p w14:paraId="0807B001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możliwość zarządzania przez sieć.</w:t>
      </w:r>
    </w:p>
    <w:p w14:paraId="29F7C738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lastRenderedPageBreak/>
        <w:t>UPS musi spełniać standardy EN 62040-1, EN 62040-2, EN 62040-3.</w:t>
      </w:r>
    </w:p>
    <w:p w14:paraId="21A2734E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nie może być głośniejszy niż 58dBA z odległości 1m.</w:t>
      </w:r>
    </w:p>
    <w:p w14:paraId="702E4782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ochronę przed pyłem IP20.</w:t>
      </w:r>
    </w:p>
    <w:p w14:paraId="3A7A2DB4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pracę w wilgotności pomiędzy 5a 95 %.</w:t>
      </w:r>
    </w:p>
    <w:p w14:paraId="7C382662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pracę w temperaturach od 0 do +40 ‘C.</w:t>
      </w:r>
    </w:p>
    <w:p w14:paraId="11256F32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zapewniać połączenie SNMP.</w:t>
      </w:r>
    </w:p>
    <w:p w14:paraId="642792B9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posiadać wbudowane zabezpieczenie przed prądem wstecznym w standardzie.</w:t>
      </w:r>
    </w:p>
    <w:p w14:paraId="4BDA8915" w14:textId="26F2DFED" w:rsidR="009067A6" w:rsidRPr="002578B1" w:rsidRDefault="009067A6" w:rsidP="00B53D1C">
      <w:pPr>
        <w:pStyle w:val="Akapitzlist"/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2578B1">
        <w:rPr>
          <w:rFonts w:ascii="Acumin Pro" w:hAnsi="Acumin Pro" w:cs="Arial"/>
          <w:sz w:val="20"/>
          <w:szCs w:val="20"/>
        </w:rPr>
        <w:t xml:space="preserve">UPS musi wykorzystywać </w:t>
      </w:r>
      <w:r w:rsidR="0023433A" w:rsidRPr="002578B1">
        <w:rPr>
          <w:rFonts w:ascii="Acumin Pro" w:hAnsi="Acumin Pro" w:cs="Arial"/>
          <w:sz w:val="20"/>
          <w:szCs w:val="20"/>
        </w:rPr>
        <w:t>bezobsługowe baterie</w:t>
      </w:r>
      <w:r w:rsidRPr="002578B1">
        <w:rPr>
          <w:rFonts w:ascii="Acumin Pro" w:hAnsi="Acumin Pro" w:cs="Arial"/>
          <w:sz w:val="20"/>
          <w:szCs w:val="20"/>
        </w:rPr>
        <w:t xml:space="preserve"> typu VRLA-AGM.</w:t>
      </w:r>
    </w:p>
    <w:p w14:paraId="19C9D8ED" w14:textId="1EAFBDFB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UPS musi zapewniać autonomiczną pracę przez </w:t>
      </w:r>
      <w:r w:rsidR="003D1324">
        <w:rPr>
          <w:rFonts w:ascii="Acumin Pro" w:hAnsi="Acumin Pro" w:cs="Arial"/>
          <w:sz w:val="20"/>
          <w:szCs w:val="20"/>
        </w:rPr>
        <w:t xml:space="preserve">minimum </w:t>
      </w:r>
      <w:r w:rsidRPr="009067A6">
        <w:rPr>
          <w:rFonts w:ascii="Acumin Pro" w:hAnsi="Acumin Pro" w:cs="Arial"/>
          <w:sz w:val="20"/>
          <w:szCs w:val="20"/>
        </w:rPr>
        <w:t>30 min przy 100% obciążenia. </w:t>
      </w:r>
    </w:p>
    <w:p w14:paraId="6F93BDF5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mieć możliwość dodania dodatkowej szafy bateryjnej umożliwiającej rozbudowę UPS o kolejne baterie, tym samym wydłużenie maksymalnego czasu autonomicznej pracy. </w:t>
      </w:r>
    </w:p>
    <w:p w14:paraId="11EB533F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UPS musi być urządzeniem wolnostojącym, wyposażonym w kółka i regulowane nóżki. </w:t>
      </w:r>
    </w:p>
    <w:p w14:paraId="0BE55974" w14:textId="048A4D7D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Producent </w:t>
      </w:r>
      <w:r w:rsidR="00EA524F">
        <w:rPr>
          <w:rFonts w:ascii="Acumin Pro" w:hAnsi="Acumin Pro" w:cs="Arial"/>
          <w:sz w:val="20"/>
          <w:szCs w:val="20"/>
        </w:rPr>
        <w:t xml:space="preserve">lub dostawca </w:t>
      </w:r>
      <w:r w:rsidRPr="009067A6">
        <w:rPr>
          <w:rFonts w:ascii="Acumin Pro" w:hAnsi="Acumin Pro" w:cs="Arial"/>
          <w:sz w:val="20"/>
          <w:szCs w:val="20"/>
        </w:rPr>
        <w:t>musi zapewniać montaż UPS we wskazanym przez Zamawiającego miejscu.</w:t>
      </w:r>
    </w:p>
    <w:p w14:paraId="78A56824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Producent musi zapewnić odpowiednie kable i podłączyć UPS do sieci.</w:t>
      </w:r>
    </w:p>
    <w:p w14:paraId="7C992556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Producent musi zapewniać uruchomienie UPS wraz z testowaniem funkcji systemu. Zamawiający nie wymaga testów obciążeniowych. </w:t>
      </w:r>
    </w:p>
    <w:p w14:paraId="1A3A429D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Producent musi zainstalować i sprawdzić karty SNMP.</w:t>
      </w:r>
    </w:p>
    <w:p w14:paraId="481A49F1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Producent musi zapewniać coroczną usługę serwisową, uwzględnioną w ramach zakupu urządzenia. </w:t>
      </w:r>
    </w:p>
    <w:p w14:paraId="33937247" w14:textId="48CB66FD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 xml:space="preserve">UPS musi posiadać </w:t>
      </w:r>
      <w:r w:rsidR="00BC2F0D">
        <w:rPr>
          <w:rFonts w:ascii="Acumin Pro" w:hAnsi="Acumin Pro" w:cs="Arial"/>
          <w:sz w:val="20"/>
          <w:szCs w:val="20"/>
        </w:rPr>
        <w:t xml:space="preserve">minimum </w:t>
      </w:r>
      <w:r w:rsidR="00C43D82">
        <w:rPr>
          <w:rFonts w:ascii="Acumin Pro" w:hAnsi="Acumin Pro" w:cs="Arial"/>
          <w:sz w:val="20"/>
          <w:szCs w:val="20"/>
        </w:rPr>
        <w:t>36 miesięcy</w:t>
      </w:r>
      <w:r w:rsidR="00EA524F">
        <w:rPr>
          <w:rFonts w:ascii="Acumin Pro" w:hAnsi="Acumin Pro" w:cs="Arial"/>
          <w:sz w:val="20"/>
          <w:szCs w:val="20"/>
        </w:rPr>
        <w:t xml:space="preserve"> gwarancji</w:t>
      </w:r>
      <w:r w:rsidRPr="009067A6">
        <w:rPr>
          <w:rFonts w:ascii="Acumin Pro" w:hAnsi="Acumin Pro" w:cs="Arial"/>
          <w:sz w:val="20"/>
          <w:szCs w:val="20"/>
        </w:rPr>
        <w:t>, z czasem reakcji do następnego dnia roboczego od przyjęcia zgłoszenia, możliwość zgłaszania awarii 24x7x365 poprzez ogólnopolską linię telefoniczną producenta. </w:t>
      </w:r>
    </w:p>
    <w:p w14:paraId="52F13426" w14:textId="77777777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Producent musi przeszkolić personel Zamawiającego w miejscu i dniu instalacji UPS, z zakresu pełnej obsługi systemu UPS.</w:t>
      </w:r>
    </w:p>
    <w:p w14:paraId="0A6A7E2F" w14:textId="4AF6D2AC" w:rsidR="009067A6" w:rsidRPr="009067A6" w:rsidRDefault="009067A6" w:rsidP="00B53D1C">
      <w:pPr>
        <w:numPr>
          <w:ilvl w:val="0"/>
          <w:numId w:val="68"/>
        </w:numPr>
        <w:jc w:val="both"/>
        <w:rPr>
          <w:rFonts w:ascii="Acumin Pro" w:hAnsi="Acumin Pro" w:cs="Arial"/>
          <w:sz w:val="20"/>
          <w:szCs w:val="20"/>
        </w:rPr>
      </w:pPr>
      <w:r w:rsidRPr="009067A6">
        <w:rPr>
          <w:rFonts w:ascii="Acumin Pro" w:hAnsi="Acumin Pro" w:cs="Arial"/>
          <w:sz w:val="20"/>
          <w:szCs w:val="20"/>
        </w:rPr>
        <w:t>Zamawiający wymaga przekazania dokumentacji technicznej dla dostarczonych UPS w języku polskim</w:t>
      </w:r>
      <w:r w:rsidR="00EA524F">
        <w:rPr>
          <w:rFonts w:ascii="Acumin Pro" w:hAnsi="Acumin Pro" w:cs="Arial"/>
          <w:sz w:val="20"/>
          <w:szCs w:val="20"/>
        </w:rPr>
        <w:t xml:space="preserve"> i </w:t>
      </w:r>
      <w:r w:rsidRPr="009067A6">
        <w:rPr>
          <w:rFonts w:ascii="Acumin Pro" w:hAnsi="Acumin Pro" w:cs="Arial"/>
          <w:sz w:val="20"/>
          <w:szCs w:val="20"/>
        </w:rPr>
        <w:t>angielskim. </w:t>
      </w:r>
    </w:p>
    <w:p w14:paraId="7CA8E8D2" w14:textId="77777777" w:rsidR="00F73EFD" w:rsidRPr="009067A6" w:rsidRDefault="00F73EFD">
      <w:pPr>
        <w:rPr>
          <w:rFonts w:ascii="Acumin Pro" w:hAnsi="Acumin Pro" w:cs="Arial"/>
          <w:sz w:val="20"/>
          <w:szCs w:val="20"/>
        </w:rPr>
      </w:pPr>
    </w:p>
    <w:sectPr w:rsidR="00F73EFD" w:rsidRPr="0090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40"/>
    <w:multiLevelType w:val="multilevel"/>
    <w:tmpl w:val="96302F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B7C74"/>
    <w:multiLevelType w:val="multilevel"/>
    <w:tmpl w:val="94A28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456C5"/>
    <w:multiLevelType w:val="multilevel"/>
    <w:tmpl w:val="29366B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13AEE"/>
    <w:multiLevelType w:val="multilevel"/>
    <w:tmpl w:val="13F2A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74F01"/>
    <w:multiLevelType w:val="multilevel"/>
    <w:tmpl w:val="3E78D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63E14"/>
    <w:multiLevelType w:val="multilevel"/>
    <w:tmpl w:val="9344F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23BF9"/>
    <w:multiLevelType w:val="multilevel"/>
    <w:tmpl w:val="1182F0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A2BBB"/>
    <w:multiLevelType w:val="multilevel"/>
    <w:tmpl w:val="DC229B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366B9"/>
    <w:multiLevelType w:val="multilevel"/>
    <w:tmpl w:val="210C55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117AA"/>
    <w:multiLevelType w:val="multilevel"/>
    <w:tmpl w:val="2D7C3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23F67"/>
    <w:multiLevelType w:val="multilevel"/>
    <w:tmpl w:val="4AD674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AB8"/>
    <w:multiLevelType w:val="multilevel"/>
    <w:tmpl w:val="409E7E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74DCD"/>
    <w:multiLevelType w:val="multilevel"/>
    <w:tmpl w:val="0BA4D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4D4838"/>
    <w:multiLevelType w:val="multilevel"/>
    <w:tmpl w:val="C5FC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8D74FD"/>
    <w:multiLevelType w:val="multilevel"/>
    <w:tmpl w:val="A6E899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D7092"/>
    <w:multiLevelType w:val="multilevel"/>
    <w:tmpl w:val="CCD470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842AD2"/>
    <w:multiLevelType w:val="multilevel"/>
    <w:tmpl w:val="F99C93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432AF5"/>
    <w:multiLevelType w:val="multilevel"/>
    <w:tmpl w:val="71B6DCF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C0602"/>
    <w:multiLevelType w:val="multilevel"/>
    <w:tmpl w:val="6076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891C02"/>
    <w:multiLevelType w:val="multilevel"/>
    <w:tmpl w:val="6C9AE5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562924"/>
    <w:multiLevelType w:val="multilevel"/>
    <w:tmpl w:val="0D2A6C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CC0A1B"/>
    <w:multiLevelType w:val="multilevel"/>
    <w:tmpl w:val="A97ED8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8414B8"/>
    <w:multiLevelType w:val="multilevel"/>
    <w:tmpl w:val="223000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2B151B"/>
    <w:multiLevelType w:val="multilevel"/>
    <w:tmpl w:val="B0C03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4027AB"/>
    <w:multiLevelType w:val="multilevel"/>
    <w:tmpl w:val="F25E8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D2F1E"/>
    <w:multiLevelType w:val="multilevel"/>
    <w:tmpl w:val="93BC07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C60AF7"/>
    <w:multiLevelType w:val="multilevel"/>
    <w:tmpl w:val="A0BE35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227A88"/>
    <w:multiLevelType w:val="multilevel"/>
    <w:tmpl w:val="F2A2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73C06"/>
    <w:multiLevelType w:val="multilevel"/>
    <w:tmpl w:val="CB900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220CA4"/>
    <w:multiLevelType w:val="multilevel"/>
    <w:tmpl w:val="48A2DF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93121"/>
    <w:multiLevelType w:val="multilevel"/>
    <w:tmpl w:val="DED665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D35558"/>
    <w:multiLevelType w:val="multilevel"/>
    <w:tmpl w:val="A66CF0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8B753B"/>
    <w:multiLevelType w:val="multilevel"/>
    <w:tmpl w:val="38AEF0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E3012C"/>
    <w:multiLevelType w:val="multilevel"/>
    <w:tmpl w:val="509CC0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4816BA"/>
    <w:multiLevelType w:val="hybridMultilevel"/>
    <w:tmpl w:val="2ECE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76C6E"/>
    <w:multiLevelType w:val="multilevel"/>
    <w:tmpl w:val="1024B1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502AD0"/>
    <w:multiLevelType w:val="multilevel"/>
    <w:tmpl w:val="3F3897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5E2536"/>
    <w:multiLevelType w:val="multilevel"/>
    <w:tmpl w:val="632A9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326832"/>
    <w:multiLevelType w:val="hybridMultilevel"/>
    <w:tmpl w:val="BB0675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06F5C"/>
    <w:multiLevelType w:val="multilevel"/>
    <w:tmpl w:val="C8CA6C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E55098"/>
    <w:multiLevelType w:val="multilevel"/>
    <w:tmpl w:val="1A4060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BC7DC4"/>
    <w:multiLevelType w:val="multilevel"/>
    <w:tmpl w:val="3B8E1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D74664"/>
    <w:multiLevelType w:val="multilevel"/>
    <w:tmpl w:val="45BC9D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404A4E"/>
    <w:multiLevelType w:val="multilevel"/>
    <w:tmpl w:val="C040F4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E15DFB"/>
    <w:multiLevelType w:val="multilevel"/>
    <w:tmpl w:val="75ACCD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AE31BA"/>
    <w:multiLevelType w:val="multilevel"/>
    <w:tmpl w:val="DB943A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7316D9"/>
    <w:multiLevelType w:val="multilevel"/>
    <w:tmpl w:val="8B98A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7B4BB7"/>
    <w:multiLevelType w:val="multilevel"/>
    <w:tmpl w:val="ECFADB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413FEC"/>
    <w:multiLevelType w:val="multilevel"/>
    <w:tmpl w:val="01F440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A67355"/>
    <w:multiLevelType w:val="multilevel"/>
    <w:tmpl w:val="CBC035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BF3F69"/>
    <w:multiLevelType w:val="multilevel"/>
    <w:tmpl w:val="A7EE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8C6485"/>
    <w:multiLevelType w:val="multilevel"/>
    <w:tmpl w:val="00FC30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63258A"/>
    <w:multiLevelType w:val="multilevel"/>
    <w:tmpl w:val="B1CA19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EB3185"/>
    <w:multiLevelType w:val="multilevel"/>
    <w:tmpl w:val="DC22BD8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490780"/>
    <w:multiLevelType w:val="multilevel"/>
    <w:tmpl w:val="C48CD7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675A6F"/>
    <w:multiLevelType w:val="multilevel"/>
    <w:tmpl w:val="2A5EC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A11305"/>
    <w:multiLevelType w:val="multilevel"/>
    <w:tmpl w:val="BD503E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F47307"/>
    <w:multiLevelType w:val="multilevel"/>
    <w:tmpl w:val="3A7AE4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413EF5"/>
    <w:multiLevelType w:val="multilevel"/>
    <w:tmpl w:val="E2BCD2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D7B5721"/>
    <w:multiLevelType w:val="multilevel"/>
    <w:tmpl w:val="91A618C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EC7FD4"/>
    <w:multiLevelType w:val="multilevel"/>
    <w:tmpl w:val="7414B5BE"/>
    <w:lvl w:ilvl="0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1" w15:restartNumberingAfterBreak="0">
    <w:nsid w:val="7123275B"/>
    <w:multiLevelType w:val="multilevel"/>
    <w:tmpl w:val="03B6A0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3A5892"/>
    <w:multiLevelType w:val="multilevel"/>
    <w:tmpl w:val="2D127B6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B0011D"/>
    <w:multiLevelType w:val="multilevel"/>
    <w:tmpl w:val="D1AA17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24731F"/>
    <w:multiLevelType w:val="multilevel"/>
    <w:tmpl w:val="8F02DA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F548F7"/>
    <w:multiLevelType w:val="multilevel"/>
    <w:tmpl w:val="BCEA1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9B0939"/>
    <w:multiLevelType w:val="multilevel"/>
    <w:tmpl w:val="E78453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F006AC8"/>
    <w:multiLevelType w:val="multilevel"/>
    <w:tmpl w:val="8188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55"/>
  </w:num>
  <w:num w:numId="4">
    <w:abstractNumId w:val="41"/>
  </w:num>
  <w:num w:numId="5">
    <w:abstractNumId w:val="4"/>
  </w:num>
  <w:num w:numId="6">
    <w:abstractNumId w:val="2"/>
  </w:num>
  <w:num w:numId="7">
    <w:abstractNumId w:val="14"/>
  </w:num>
  <w:num w:numId="8">
    <w:abstractNumId w:val="5"/>
  </w:num>
  <w:num w:numId="9">
    <w:abstractNumId w:val="47"/>
  </w:num>
  <w:num w:numId="10">
    <w:abstractNumId w:val="1"/>
  </w:num>
  <w:num w:numId="11">
    <w:abstractNumId w:val="63"/>
  </w:num>
  <w:num w:numId="12">
    <w:abstractNumId w:val="21"/>
  </w:num>
  <w:num w:numId="13">
    <w:abstractNumId w:val="11"/>
  </w:num>
  <w:num w:numId="14">
    <w:abstractNumId w:val="31"/>
  </w:num>
  <w:num w:numId="15">
    <w:abstractNumId w:val="54"/>
  </w:num>
  <w:num w:numId="16">
    <w:abstractNumId w:val="8"/>
  </w:num>
  <w:num w:numId="17">
    <w:abstractNumId w:val="42"/>
  </w:num>
  <w:num w:numId="18">
    <w:abstractNumId w:val="39"/>
  </w:num>
  <w:num w:numId="19">
    <w:abstractNumId w:val="20"/>
  </w:num>
  <w:num w:numId="20">
    <w:abstractNumId w:val="0"/>
  </w:num>
  <w:num w:numId="21">
    <w:abstractNumId w:val="30"/>
  </w:num>
  <w:num w:numId="22">
    <w:abstractNumId w:val="51"/>
  </w:num>
  <w:num w:numId="23">
    <w:abstractNumId w:val="17"/>
  </w:num>
  <w:num w:numId="24">
    <w:abstractNumId w:val="26"/>
  </w:num>
  <w:num w:numId="25">
    <w:abstractNumId w:val="57"/>
  </w:num>
  <w:num w:numId="26">
    <w:abstractNumId w:val="59"/>
  </w:num>
  <w:num w:numId="27">
    <w:abstractNumId w:val="52"/>
  </w:num>
  <w:num w:numId="28">
    <w:abstractNumId w:val="64"/>
  </w:num>
  <w:num w:numId="29">
    <w:abstractNumId w:val="38"/>
  </w:num>
  <w:num w:numId="30">
    <w:abstractNumId w:val="13"/>
  </w:num>
  <w:num w:numId="31">
    <w:abstractNumId w:val="18"/>
  </w:num>
  <w:num w:numId="32">
    <w:abstractNumId w:val="28"/>
  </w:num>
  <w:num w:numId="33">
    <w:abstractNumId w:val="37"/>
  </w:num>
  <w:num w:numId="34">
    <w:abstractNumId w:val="67"/>
  </w:num>
  <w:num w:numId="35">
    <w:abstractNumId w:val="46"/>
  </w:num>
  <w:num w:numId="36">
    <w:abstractNumId w:val="50"/>
  </w:num>
  <w:num w:numId="37">
    <w:abstractNumId w:val="65"/>
  </w:num>
  <w:num w:numId="38">
    <w:abstractNumId w:val="35"/>
  </w:num>
  <w:num w:numId="39">
    <w:abstractNumId w:val="9"/>
  </w:num>
  <w:num w:numId="40">
    <w:abstractNumId w:val="44"/>
  </w:num>
  <w:num w:numId="41">
    <w:abstractNumId w:val="6"/>
  </w:num>
  <w:num w:numId="42">
    <w:abstractNumId w:val="23"/>
  </w:num>
  <w:num w:numId="43">
    <w:abstractNumId w:val="3"/>
  </w:num>
  <w:num w:numId="44">
    <w:abstractNumId w:val="40"/>
  </w:num>
  <w:num w:numId="45">
    <w:abstractNumId w:val="12"/>
  </w:num>
  <w:num w:numId="46">
    <w:abstractNumId w:val="43"/>
  </w:num>
  <w:num w:numId="47">
    <w:abstractNumId w:val="66"/>
  </w:num>
  <w:num w:numId="48">
    <w:abstractNumId w:val="7"/>
  </w:num>
  <w:num w:numId="49">
    <w:abstractNumId w:val="45"/>
  </w:num>
  <w:num w:numId="50">
    <w:abstractNumId w:val="10"/>
  </w:num>
  <w:num w:numId="51">
    <w:abstractNumId w:val="58"/>
  </w:num>
  <w:num w:numId="52">
    <w:abstractNumId w:val="16"/>
  </w:num>
  <w:num w:numId="53">
    <w:abstractNumId w:val="25"/>
  </w:num>
  <w:num w:numId="54">
    <w:abstractNumId w:val="29"/>
  </w:num>
  <w:num w:numId="55">
    <w:abstractNumId w:val="15"/>
  </w:num>
  <w:num w:numId="56">
    <w:abstractNumId w:val="49"/>
  </w:num>
  <w:num w:numId="57">
    <w:abstractNumId w:val="33"/>
  </w:num>
  <w:num w:numId="58">
    <w:abstractNumId w:val="61"/>
  </w:num>
  <w:num w:numId="59">
    <w:abstractNumId w:val="48"/>
  </w:num>
  <w:num w:numId="60">
    <w:abstractNumId w:val="62"/>
  </w:num>
  <w:num w:numId="61">
    <w:abstractNumId w:val="36"/>
  </w:num>
  <w:num w:numId="62">
    <w:abstractNumId w:val="32"/>
  </w:num>
  <w:num w:numId="63">
    <w:abstractNumId w:val="60"/>
  </w:num>
  <w:num w:numId="64">
    <w:abstractNumId w:val="19"/>
  </w:num>
  <w:num w:numId="65">
    <w:abstractNumId w:val="56"/>
  </w:num>
  <w:num w:numId="66">
    <w:abstractNumId w:val="22"/>
  </w:num>
  <w:num w:numId="67">
    <w:abstractNumId w:val="53"/>
  </w:num>
  <w:num w:numId="68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D"/>
    <w:rsid w:val="0002694E"/>
    <w:rsid w:val="001E3A84"/>
    <w:rsid w:val="0023433A"/>
    <w:rsid w:val="002578B1"/>
    <w:rsid w:val="003D1324"/>
    <w:rsid w:val="00492947"/>
    <w:rsid w:val="00642CEE"/>
    <w:rsid w:val="00662A49"/>
    <w:rsid w:val="00843EC9"/>
    <w:rsid w:val="008F1ED9"/>
    <w:rsid w:val="009067A6"/>
    <w:rsid w:val="0096776A"/>
    <w:rsid w:val="009C6930"/>
    <w:rsid w:val="00B53D1C"/>
    <w:rsid w:val="00BC2F0D"/>
    <w:rsid w:val="00C43D82"/>
    <w:rsid w:val="00D00D1B"/>
    <w:rsid w:val="00D04B2B"/>
    <w:rsid w:val="00D16E8F"/>
    <w:rsid w:val="00E24ED0"/>
    <w:rsid w:val="00EA524F"/>
    <w:rsid w:val="00F73EFD"/>
    <w:rsid w:val="00F800FE"/>
    <w:rsid w:val="00F857B4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30AF"/>
  <w15:chartTrackingRefBased/>
  <w15:docId w15:val="{FDA41CDC-BB1F-4E96-9EDB-7512A3F2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A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67A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ED9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ED9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ec.org/cpu2017/results/cpu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11</cp:revision>
  <dcterms:created xsi:type="dcterms:W3CDTF">2024-09-13T07:34:00Z</dcterms:created>
  <dcterms:modified xsi:type="dcterms:W3CDTF">2024-09-23T07:30:00Z</dcterms:modified>
</cp:coreProperties>
</file>