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795F9" w14:textId="77777777" w:rsidR="00991112" w:rsidRDefault="00991112">
      <w:pPr>
        <w:pStyle w:val="Tytu"/>
        <w:ind w:left="708"/>
        <w:jc w:val="right"/>
        <w:rPr>
          <w:rFonts w:ascii="Arial" w:hAnsi="Arial"/>
          <w:b w:val="0"/>
          <w:bCs w:val="0"/>
          <w:sz w:val="22"/>
          <w:szCs w:val="22"/>
        </w:rPr>
      </w:pPr>
    </w:p>
    <w:p w14:paraId="24113139" w14:textId="1EF3908C" w:rsidR="00991112" w:rsidRDefault="00000000">
      <w:pPr>
        <w:pStyle w:val="Tytu"/>
        <w:ind w:left="708"/>
        <w:jc w:val="right"/>
        <w:rPr>
          <w:rFonts w:hint="eastAsia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Dopiewo, dnia</w:t>
      </w:r>
      <w:r w:rsidR="00680C67">
        <w:rPr>
          <w:rFonts w:ascii="Calibri" w:hAnsi="Calibri" w:cs="Calibri"/>
          <w:b w:val="0"/>
          <w:bCs w:val="0"/>
          <w:sz w:val="22"/>
          <w:szCs w:val="22"/>
        </w:rPr>
        <w:t xml:space="preserve"> 31 marca 2025 r.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bCs w:val="0"/>
          <w:sz w:val="22"/>
          <w:szCs w:val="22"/>
          <w:u w:val="single"/>
        </w:rPr>
        <w:t xml:space="preserve">                          </w:t>
      </w:r>
    </w:p>
    <w:p w14:paraId="429A2149" w14:textId="77777777" w:rsidR="00991112" w:rsidRDefault="00991112">
      <w:pPr>
        <w:pStyle w:val="Tytu"/>
        <w:spacing w:line="360" w:lineRule="auto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14:paraId="2DFBD599" w14:textId="77777777" w:rsidR="00991112" w:rsidRDefault="00991112">
      <w:pPr>
        <w:pStyle w:val="Tytu"/>
        <w:spacing w:line="360" w:lineRule="auto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14:paraId="313E0D86" w14:textId="12FC8B2F" w:rsidR="00991112" w:rsidRDefault="00000000">
      <w:pPr>
        <w:pStyle w:val="Tytu"/>
        <w:spacing w:line="360" w:lineRule="auto"/>
        <w:jc w:val="left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Znak sprawy: </w:t>
      </w:r>
      <w:r w:rsidR="00680C67" w:rsidRPr="00680C67">
        <w:rPr>
          <w:rFonts w:ascii="Calibri" w:hAnsi="Calibri" w:cs="Calibri"/>
          <w:sz w:val="22"/>
          <w:szCs w:val="22"/>
        </w:rPr>
        <w:t>RPP.1.2025</w:t>
      </w:r>
      <w:r w:rsidRPr="00680C67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  <w:u w:val="single"/>
        </w:rPr>
        <w:t xml:space="preserve">                      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4999756" w14:textId="313FA147" w:rsidR="00991112" w:rsidRDefault="00000000">
      <w:pPr>
        <w:pStyle w:val="Standard"/>
        <w:tabs>
          <w:tab w:val="left" w:pos="234"/>
        </w:tabs>
        <w:spacing w:after="240"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Nazwa zamówienia:</w:t>
      </w:r>
      <w:r w:rsidR="00680C67">
        <w:rPr>
          <w:rFonts w:ascii="Calibri" w:hAnsi="Calibri" w:cs="Calibri"/>
          <w:b/>
          <w:sz w:val="22"/>
          <w:szCs w:val="22"/>
        </w:rPr>
        <w:t xml:space="preserve"> </w:t>
      </w:r>
      <w:r w:rsidR="00680C67" w:rsidRPr="00680C67">
        <w:rPr>
          <w:rFonts w:ascii="Calibri" w:hAnsi="Calibri" w:cs="Calibri"/>
          <w:b/>
          <w:sz w:val="22"/>
          <w:szCs w:val="22"/>
        </w:rPr>
        <w:t>Us</w:t>
      </w:r>
      <w:r w:rsidR="00680C67" w:rsidRPr="00680C67">
        <w:rPr>
          <w:rFonts w:ascii="Calibri" w:hAnsi="Calibri" w:cs="Calibri" w:hint="cs"/>
          <w:b/>
          <w:sz w:val="22"/>
          <w:szCs w:val="22"/>
        </w:rPr>
        <w:t>ł</w:t>
      </w:r>
      <w:r w:rsidR="00680C67" w:rsidRPr="00680C67">
        <w:rPr>
          <w:rFonts w:ascii="Calibri" w:hAnsi="Calibri" w:cs="Calibri"/>
          <w:b/>
          <w:sz w:val="22"/>
          <w:szCs w:val="22"/>
        </w:rPr>
        <w:t>ugi w zakresie wyceny nieruchomo</w:t>
      </w:r>
      <w:r w:rsidR="00680C67" w:rsidRPr="00680C67">
        <w:rPr>
          <w:rFonts w:ascii="Calibri" w:hAnsi="Calibri" w:cs="Calibri" w:hint="cs"/>
          <w:b/>
          <w:sz w:val="22"/>
          <w:szCs w:val="22"/>
        </w:rPr>
        <w:t>ś</w:t>
      </w:r>
      <w:r w:rsidR="00680C67" w:rsidRPr="00680C67">
        <w:rPr>
          <w:rFonts w:ascii="Calibri" w:hAnsi="Calibri" w:cs="Calibri"/>
          <w:b/>
          <w:sz w:val="22"/>
          <w:szCs w:val="22"/>
        </w:rPr>
        <w:t>ci</w:t>
      </w:r>
    </w:p>
    <w:p w14:paraId="034F86ED" w14:textId="77777777" w:rsidR="00991112" w:rsidRDefault="00991112">
      <w:pPr>
        <w:pStyle w:val="Tytu1"/>
        <w:rPr>
          <w:rFonts w:ascii="Calibri" w:hAnsi="Calibri" w:cs="Calibri"/>
          <w:b/>
          <w:sz w:val="22"/>
          <w:szCs w:val="22"/>
        </w:rPr>
      </w:pPr>
    </w:p>
    <w:p w14:paraId="1CF7ECEB" w14:textId="77777777" w:rsidR="00991112" w:rsidRDefault="00000000">
      <w:pPr>
        <w:pStyle w:val="Tytu1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Informacja o złożonych ofertach</w:t>
      </w:r>
    </w:p>
    <w:p w14:paraId="6E48BD66" w14:textId="77777777" w:rsidR="00991112" w:rsidRDefault="00991112">
      <w:pPr>
        <w:pStyle w:val="Tytu1"/>
        <w:jc w:val="center"/>
        <w:rPr>
          <w:rFonts w:ascii="Calibri" w:hAnsi="Calibri" w:cs="Calibri"/>
          <w:b/>
          <w:sz w:val="22"/>
          <w:szCs w:val="22"/>
        </w:rPr>
      </w:pPr>
    </w:p>
    <w:p w14:paraId="7796F494" w14:textId="77777777" w:rsidR="00991112" w:rsidRDefault="00991112">
      <w:pPr>
        <w:pStyle w:val="Tytu1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7531BBC9" w14:textId="251A71F3" w:rsidR="00991112" w:rsidRDefault="00000000">
      <w:pPr>
        <w:pStyle w:val="Standard"/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informuje, że w dniu </w:t>
      </w:r>
      <w:r w:rsidR="00680C67">
        <w:rPr>
          <w:rFonts w:ascii="Calibri" w:hAnsi="Calibri" w:cs="Calibri"/>
          <w:sz w:val="22"/>
          <w:szCs w:val="22"/>
        </w:rPr>
        <w:t>31 marca 2025 r.</w:t>
      </w:r>
      <w:r>
        <w:rPr>
          <w:rFonts w:ascii="Calibri" w:hAnsi="Calibri" w:cs="Calibri"/>
          <w:sz w:val="22"/>
          <w:szCs w:val="22"/>
        </w:rPr>
        <w:t xml:space="preserve"> o godzinie </w:t>
      </w:r>
      <w:r w:rsidR="00680C67">
        <w:rPr>
          <w:rFonts w:ascii="Calibri" w:hAnsi="Calibri" w:cs="Calibri"/>
          <w:sz w:val="22"/>
          <w:szCs w:val="22"/>
        </w:rPr>
        <w:t>11.30</w:t>
      </w:r>
      <w:r>
        <w:rPr>
          <w:rFonts w:ascii="Calibri" w:hAnsi="Calibri" w:cs="Calibri"/>
          <w:sz w:val="22"/>
          <w:szCs w:val="22"/>
        </w:rPr>
        <w:t xml:space="preserve"> dokonano otwarcia ofert złożonych w niniejszym postępowaniu.</w:t>
      </w:r>
    </w:p>
    <w:p w14:paraId="0FFE0F20" w14:textId="77777777" w:rsidR="00991112" w:rsidRDefault="00991112">
      <w:pPr>
        <w:pStyle w:val="Tytu1"/>
        <w:spacing w:line="360" w:lineRule="auto"/>
        <w:jc w:val="both"/>
        <w:rPr>
          <w:rFonts w:ascii="Calibri" w:hAnsi="Calibri" w:cs="Calibri"/>
          <w:b/>
          <w:bCs w:val="0"/>
          <w:sz w:val="22"/>
          <w:szCs w:val="22"/>
        </w:rPr>
      </w:pPr>
    </w:p>
    <w:p w14:paraId="2096F0E7" w14:textId="77777777" w:rsidR="00991112" w:rsidRDefault="00000000">
      <w:pPr>
        <w:pStyle w:val="Tytu1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postępowaniu wpłynęły następujące oferty wykonawców:</w:t>
      </w:r>
    </w:p>
    <w:p w14:paraId="59A4A32F" w14:textId="77777777" w:rsidR="00991112" w:rsidRDefault="00991112">
      <w:pPr>
        <w:pStyle w:val="Tytu1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C15370A" w14:textId="77777777" w:rsidR="00991112" w:rsidRDefault="00991112">
      <w:pPr>
        <w:pStyle w:val="Standard"/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9765" w:type="dxa"/>
        <w:tblInd w:w="-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0"/>
        <w:gridCol w:w="4952"/>
        <w:gridCol w:w="3783"/>
      </w:tblGrid>
      <w:tr w:rsidR="005A52D7" w14:paraId="17C6EA37" w14:textId="77777777" w:rsidTr="008C4CA5">
        <w:trPr>
          <w:trHeight w:val="721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D42DC" w14:textId="77777777" w:rsidR="005A52D7" w:rsidRDefault="005A52D7">
            <w:pPr>
              <w:pStyle w:val="Tytu1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oferty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AF605" w14:textId="77777777" w:rsidR="005A52D7" w:rsidRDefault="005A52D7">
            <w:pPr>
              <w:pStyle w:val="Tytu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i adres Wykonawcy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D00A7" w14:textId="77777777" w:rsidR="005A52D7" w:rsidRDefault="005A52D7">
            <w:pPr>
              <w:pStyle w:val="Tytu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oferty</w:t>
            </w:r>
          </w:p>
          <w:p w14:paraId="4D7EAA2F" w14:textId="77777777" w:rsidR="005A52D7" w:rsidRDefault="005A52D7">
            <w:pPr>
              <w:pStyle w:val="Tytu1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(brutto)</w:t>
            </w:r>
          </w:p>
        </w:tc>
      </w:tr>
      <w:tr w:rsidR="005A52D7" w14:paraId="5C3BFCD2" w14:textId="77777777" w:rsidTr="008C4CA5">
        <w:trPr>
          <w:trHeight w:val="564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0B22" w14:textId="77777777" w:rsidR="005A52D7" w:rsidRDefault="005A52D7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BF84F" w14:textId="7B77CB8D" w:rsidR="005A52D7" w:rsidRDefault="008C4CA5" w:rsidP="008C4CA5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TZN Tomasz Załecki Nieruchomości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Rzeczoznawca Majątkowy Zarządca Nieruchomości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ul. Gliniana 3A, 62-040 Puszczykowo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1CA2F" w14:textId="38ED1503" w:rsidR="005A52D7" w:rsidRDefault="008C4CA5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44.997,09</w:t>
            </w:r>
          </w:p>
        </w:tc>
      </w:tr>
      <w:tr w:rsidR="005A52D7" w14:paraId="2621EA68" w14:textId="77777777" w:rsidTr="008C4CA5">
        <w:trPr>
          <w:trHeight w:val="564"/>
        </w:trPr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EDAD6" w14:textId="77777777" w:rsidR="005A52D7" w:rsidRDefault="005A52D7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4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EF5A" w14:textId="7CBCE5AF" w:rsidR="005A52D7" w:rsidRDefault="008C4CA5" w:rsidP="008C4CA5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ANBUD Biuro Obrotu i Wycen Nieruchomości Arkadiusz Andrzejewski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ul. Głogowska 108/4, 60-263 Poznań</w:t>
            </w:r>
          </w:p>
        </w:tc>
        <w:tc>
          <w:tcPr>
            <w:tcW w:w="3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41E98" w14:textId="0940C2EC" w:rsidR="005A52D7" w:rsidRDefault="008C4CA5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45.694,50</w:t>
            </w:r>
          </w:p>
        </w:tc>
      </w:tr>
    </w:tbl>
    <w:p w14:paraId="7576BD4D" w14:textId="77777777" w:rsidR="00991112" w:rsidRDefault="00991112">
      <w:pPr>
        <w:pStyle w:val="Tytu1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67492E87" w14:textId="77777777" w:rsidR="00991112" w:rsidRDefault="00991112">
      <w:pPr>
        <w:pStyle w:val="Addressee"/>
        <w:spacing w:before="240"/>
        <w:ind w:left="4535"/>
        <w:jc w:val="center"/>
        <w:rPr>
          <w:rFonts w:ascii="Calibri" w:hAnsi="Calibri" w:cs="Calibri"/>
          <w:iCs/>
          <w:sz w:val="22"/>
          <w:szCs w:val="22"/>
        </w:rPr>
      </w:pPr>
    </w:p>
    <w:p w14:paraId="7D8ADF1C" w14:textId="77777777" w:rsidR="00991112" w:rsidRDefault="00991112">
      <w:pPr>
        <w:pStyle w:val="Addressee"/>
        <w:spacing w:before="240"/>
        <w:ind w:left="4535"/>
        <w:jc w:val="center"/>
        <w:rPr>
          <w:rFonts w:ascii="Calibri" w:hAnsi="Calibri" w:cs="Calibri"/>
          <w:iCs/>
          <w:sz w:val="22"/>
          <w:szCs w:val="22"/>
        </w:rPr>
      </w:pPr>
    </w:p>
    <w:p w14:paraId="539E2EDB" w14:textId="77777777" w:rsidR="00991112" w:rsidRDefault="00991112">
      <w:pPr>
        <w:pStyle w:val="Addressee"/>
        <w:spacing w:before="240"/>
        <w:rPr>
          <w:rFonts w:ascii="Calibri" w:hAnsi="Calibri" w:cs="Calibri"/>
          <w:iCs/>
          <w:sz w:val="22"/>
          <w:szCs w:val="22"/>
        </w:rPr>
      </w:pPr>
    </w:p>
    <w:p w14:paraId="767860CC" w14:textId="77777777" w:rsidR="00991112" w:rsidRDefault="00991112">
      <w:pPr>
        <w:pStyle w:val="Addressee"/>
        <w:spacing w:before="240"/>
        <w:rPr>
          <w:rFonts w:ascii="Calibri" w:hAnsi="Calibri" w:cs="Calibri"/>
          <w:iCs/>
          <w:sz w:val="22"/>
          <w:szCs w:val="22"/>
        </w:rPr>
      </w:pPr>
    </w:p>
    <w:p w14:paraId="032658C4" w14:textId="77777777" w:rsidR="00991112" w:rsidRDefault="00991112">
      <w:pPr>
        <w:pStyle w:val="Addressee"/>
        <w:spacing w:before="240"/>
        <w:rPr>
          <w:rFonts w:ascii="Calibri" w:hAnsi="Calibri" w:cs="Calibri"/>
          <w:iCs/>
          <w:sz w:val="22"/>
          <w:szCs w:val="22"/>
        </w:rPr>
      </w:pPr>
    </w:p>
    <w:p w14:paraId="712804FB" w14:textId="77777777" w:rsidR="00991112" w:rsidRDefault="00991112">
      <w:pPr>
        <w:pStyle w:val="Addressee"/>
        <w:spacing w:before="240"/>
        <w:rPr>
          <w:rFonts w:ascii="Calibri" w:hAnsi="Calibri" w:cs="Calibri"/>
          <w:iCs/>
          <w:sz w:val="22"/>
          <w:szCs w:val="22"/>
        </w:rPr>
      </w:pPr>
    </w:p>
    <w:p w14:paraId="275410B7" w14:textId="77777777" w:rsidR="00991112" w:rsidRDefault="00991112">
      <w:pPr>
        <w:pStyle w:val="Addressee"/>
        <w:spacing w:before="240"/>
        <w:rPr>
          <w:rFonts w:ascii="Calibri" w:hAnsi="Calibri" w:cs="Calibri"/>
          <w:iCs/>
          <w:sz w:val="22"/>
          <w:szCs w:val="22"/>
        </w:rPr>
      </w:pPr>
    </w:p>
    <w:p w14:paraId="5F120CE1" w14:textId="77777777" w:rsidR="00991112" w:rsidRDefault="00991112">
      <w:pPr>
        <w:pStyle w:val="Addressee"/>
        <w:spacing w:before="240"/>
        <w:rPr>
          <w:rFonts w:ascii="Calibri" w:hAnsi="Calibri" w:cs="Calibri"/>
          <w:iCs/>
          <w:sz w:val="22"/>
          <w:szCs w:val="22"/>
        </w:rPr>
      </w:pPr>
    </w:p>
    <w:p w14:paraId="5284E9C1" w14:textId="4D6ACC2D" w:rsidR="00991112" w:rsidRDefault="00000000">
      <w:pPr>
        <w:pStyle w:val="Addressee"/>
        <w:spacing w:before="240"/>
        <w:rPr>
          <w:rFonts w:hint="eastAsia"/>
        </w:rPr>
      </w:pPr>
      <w:r>
        <w:rPr>
          <w:rFonts w:ascii="Calibri" w:hAnsi="Calibri" w:cs="Calibri"/>
          <w:iCs/>
          <w:sz w:val="22"/>
          <w:szCs w:val="22"/>
        </w:rPr>
        <w:t>Prowadzący sprawę:</w:t>
      </w:r>
      <w:r w:rsidR="00E25E29">
        <w:rPr>
          <w:rFonts w:ascii="Calibri" w:hAnsi="Calibri" w:cs="Calibri"/>
          <w:iCs/>
          <w:sz w:val="22"/>
          <w:szCs w:val="22"/>
        </w:rPr>
        <w:t xml:space="preserve"> Magdalena Łączkowska, Sylwia Miszczyszyn</w:t>
      </w:r>
    </w:p>
    <w:sectPr w:rsidR="0099111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7ECE1" w14:textId="77777777" w:rsidR="00AD2B3B" w:rsidRDefault="00AD2B3B">
      <w:pPr>
        <w:rPr>
          <w:rFonts w:hint="eastAsia"/>
        </w:rPr>
      </w:pPr>
      <w:r>
        <w:separator/>
      </w:r>
    </w:p>
  </w:endnote>
  <w:endnote w:type="continuationSeparator" w:id="0">
    <w:p w14:paraId="5E8F01CE" w14:textId="77777777" w:rsidR="00AD2B3B" w:rsidRDefault="00AD2B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E29E4" w14:textId="77777777" w:rsidR="00AD2B3B" w:rsidRDefault="00AD2B3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5C7A6E3" w14:textId="77777777" w:rsidR="00AD2B3B" w:rsidRDefault="00AD2B3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12"/>
    <w:rsid w:val="00050276"/>
    <w:rsid w:val="001B2472"/>
    <w:rsid w:val="003671B5"/>
    <w:rsid w:val="00554971"/>
    <w:rsid w:val="005A52D7"/>
    <w:rsid w:val="00671C00"/>
    <w:rsid w:val="00680C67"/>
    <w:rsid w:val="007D3C60"/>
    <w:rsid w:val="008C4CA5"/>
    <w:rsid w:val="00991112"/>
    <w:rsid w:val="009A1BD0"/>
    <w:rsid w:val="00AB7B27"/>
    <w:rsid w:val="00AD2B3B"/>
    <w:rsid w:val="00C4081A"/>
    <w:rsid w:val="00C606E2"/>
    <w:rsid w:val="00E2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D970"/>
  <w15:docId w15:val="{A7D27A43-0DD5-4CB4-ABC0-BA5498B7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ddressee">
    <w:name w:val="Addressee"/>
    <w:basedOn w:val="Standard"/>
    <w:pPr>
      <w:spacing w:line="320" w:lineRule="exact"/>
    </w:pPr>
    <w:rPr>
      <w:color w:val="000000"/>
    </w:rPr>
  </w:style>
  <w:style w:type="paragraph" w:customStyle="1" w:styleId="Tytu1">
    <w:name w:val="Tytuł1"/>
    <w:pPr>
      <w:suppressAutoHyphens/>
      <w:spacing w:line="440" w:lineRule="exact"/>
    </w:pPr>
    <w:rPr>
      <w:rFonts w:ascii="Arial" w:eastAsia="Arial" w:hAnsi="Arial"/>
      <w:bCs/>
      <w:color w:val="000000"/>
      <w:sz w:val="20"/>
      <w:szCs w:val="36"/>
      <w:lang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Tytu">
    <w:name w:val="Title"/>
    <w:basedOn w:val="Standard"/>
    <w:uiPriority w:val="10"/>
    <w:qFormat/>
    <w:pPr>
      <w:jc w:val="center"/>
    </w:pPr>
    <w:rPr>
      <w:b/>
      <w:bCs/>
      <w:sz w:val="3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MN. Napierała</dc:creator>
  <cp:lastModifiedBy>Magdalena MŁ. Łączkowska</cp:lastModifiedBy>
  <cp:revision>6</cp:revision>
  <dcterms:created xsi:type="dcterms:W3CDTF">2025-03-31T07:14:00Z</dcterms:created>
  <dcterms:modified xsi:type="dcterms:W3CDTF">2025-03-31T11:28:00Z</dcterms:modified>
</cp:coreProperties>
</file>