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3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2"/>
        <w:gridCol w:w="8106"/>
      </w:tblGrid>
      <w:tr w:rsidR="00EB22A9" w:rsidRPr="003A2EF9" w14:paraId="698148C6" w14:textId="77777777" w:rsidTr="000E7F05">
        <w:trPr>
          <w:trHeight w:val="561"/>
          <w:jc w:val="center"/>
        </w:trPr>
        <w:tc>
          <w:tcPr>
            <w:tcW w:w="10348" w:type="dxa"/>
            <w:gridSpan w:val="2"/>
          </w:tcPr>
          <w:p w14:paraId="13F12B37" w14:textId="79750395" w:rsidR="00B65BF0" w:rsidRPr="003A2EF9" w:rsidRDefault="00EB22A9" w:rsidP="00914B21">
            <w:pPr>
              <w:pStyle w:val="Nagwek1"/>
              <w:rPr>
                <w:rFonts w:ascii="Arial" w:hAnsi="Arial" w:cs="Arial"/>
                <w:sz w:val="20"/>
                <w:szCs w:val="20"/>
              </w:rPr>
            </w:pPr>
            <w:r w:rsidRPr="003A2EF9">
              <w:rPr>
                <w:rFonts w:ascii="Arial" w:hAnsi="Arial" w:cs="Arial"/>
                <w:sz w:val="20"/>
                <w:szCs w:val="20"/>
              </w:rPr>
              <w:t>Przedmiot zamówienia - wymagania Zamawiającego</w:t>
            </w:r>
          </w:p>
          <w:p w14:paraId="0BF24D04" w14:textId="4416321E" w:rsidR="008A245E" w:rsidRPr="006073A7" w:rsidRDefault="006073A7" w:rsidP="006073A7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073A7">
              <w:rPr>
                <w:rFonts w:ascii="Arial" w:hAnsi="Arial" w:cs="Arial"/>
                <w:b/>
                <w:bCs/>
                <w:sz w:val="20"/>
                <w:szCs w:val="20"/>
              </w:rPr>
              <w:t>Serwer wirtualizacji 2 CPU</w:t>
            </w:r>
          </w:p>
        </w:tc>
      </w:tr>
      <w:tr w:rsidR="000E7F05" w:rsidRPr="00C96530" w14:paraId="18509C22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558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0D7E5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Parametr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76593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i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Charakterystyka (wymagania minimalne)</w:t>
            </w:r>
          </w:p>
        </w:tc>
      </w:tr>
      <w:tr w:rsidR="000E7F05" w:rsidRPr="00C96530" w14:paraId="6673E193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693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2951F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Obudowa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FBF20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Obudowa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Rack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 wysokości max 2U z możliwością instalacji min. 16 dysków 2.5” SAS/SATA/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NVMe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wraz z kompletem szyn wraz z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organizerem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do kabli umożliwiających montaż w szafie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rack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</w:tr>
      <w:tr w:rsidR="000E7F05" w:rsidRPr="00C96530" w14:paraId="5B6CC4B0" w14:textId="77777777" w:rsidTr="000E7F05">
        <w:tblPrEx>
          <w:jc w:val="left"/>
          <w:tblLook w:val="04A0" w:firstRow="1" w:lastRow="0" w:firstColumn="1" w:lastColumn="0" w:noHBand="0" w:noVBand="1"/>
        </w:tblPrEx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1B207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Płyta główna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7600F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Płyta główna z możliwością zainstalowania minimum dwóch procesorów. Płyta główna musi być zaprojektowana przez producenta serwera i oznaczona jego znakiem firmowym.</w:t>
            </w:r>
          </w:p>
        </w:tc>
      </w:tr>
      <w:tr w:rsidR="000E7F05" w:rsidRPr="00C96530" w14:paraId="26C9FBC8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441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27857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Chipset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F8ABB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bCs/>
                <w:sz w:val="20"/>
                <w:szCs w:val="20"/>
              </w:rPr>
            </w:pPr>
            <w:r w:rsidRPr="00C96530">
              <w:rPr>
                <w:rFonts w:ascii="Calibri" w:hAnsi="Calibri" w:cs="Calibri"/>
                <w:bCs/>
                <w:sz w:val="20"/>
                <w:szCs w:val="20"/>
              </w:rPr>
              <w:t>Dedykowany przez producenta procesora do pracy w serwerach dwuprocesorowych.</w:t>
            </w:r>
          </w:p>
        </w:tc>
      </w:tr>
      <w:tr w:rsidR="000E7F05" w:rsidRPr="00C96530" w14:paraId="1FDAE440" w14:textId="77777777" w:rsidTr="000E7F05">
        <w:tblPrEx>
          <w:jc w:val="left"/>
          <w:tblLook w:val="04A0" w:firstRow="1" w:lastRow="0" w:firstColumn="1" w:lastColumn="0" w:noHBand="0" w:noVBand="1"/>
        </w:tblPrEx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CE4F3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Procesor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80815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Zainstalowane dwa procesory klasy x86 dedykowane do pracy z zaoferowanym serwerem umożliwiające osiągnięcie wyniku min. 582 punktów w teście SPECrate2017_int_base</w:t>
            </w:r>
            <w:r w:rsidRPr="00C96530">
              <w:rPr>
                <w:rFonts w:ascii="Calibri" w:hAnsi="Calibri" w:cs="Calibri"/>
              </w:rPr>
              <w:t xml:space="preserve"> </w:t>
            </w:r>
            <w:r w:rsidRPr="00C96530">
              <w:rPr>
                <w:rFonts w:ascii="Calibri" w:hAnsi="Calibri" w:cs="Calibri"/>
                <w:sz w:val="20"/>
                <w:szCs w:val="20"/>
              </w:rPr>
              <w:t xml:space="preserve">dostępnym na stronie </w:t>
            </w:r>
            <w:hyperlink r:id="rId7" w:history="1">
              <w:r w:rsidRPr="00C96530">
                <w:rPr>
                  <w:rStyle w:val="Hipercze"/>
                  <w:rFonts w:ascii="Calibri" w:hAnsi="Calibri" w:cs="Calibri"/>
                  <w:sz w:val="20"/>
                  <w:szCs w:val="20"/>
                </w:rPr>
                <w:t>www.spec.org</w:t>
              </w:r>
            </w:hyperlink>
            <w:r w:rsidRPr="00C96530">
              <w:rPr>
                <w:rFonts w:ascii="Calibri" w:hAnsi="Calibri" w:cs="Calibri"/>
                <w:sz w:val="20"/>
                <w:szCs w:val="20"/>
              </w:rPr>
              <w:t xml:space="preserve"> dla oferowanego serwera.</w:t>
            </w:r>
          </w:p>
        </w:tc>
      </w:tr>
      <w:tr w:rsidR="000E7F05" w:rsidRPr="00C96530" w14:paraId="54600839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898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31DD4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RAM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C18CA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Min. 2 300 GB DDR5 RDIMM 5600MT/s w modułach min. 96GB RDIMM 5600MT/s, na płycie głównej powinno znajdować się minimum 24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sloty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 xml:space="preserve"> przeznaczone do instalacji pamięci. Płyta główna powinna obsługiwać do min. 3TB pamięci RAM.</w:t>
            </w:r>
          </w:p>
        </w:tc>
      </w:tr>
      <w:tr w:rsidR="000E7F05" w:rsidRPr="00C96530" w14:paraId="47674637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385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862E1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 xml:space="preserve">Gniazda </w:t>
            </w:r>
            <w:proofErr w:type="spellStart"/>
            <w:r w:rsidRPr="00C96530">
              <w:rPr>
                <w:rFonts w:ascii="Calibri" w:hAnsi="Calibri" w:cs="Calibri"/>
                <w:b/>
                <w:sz w:val="20"/>
                <w:szCs w:val="20"/>
              </w:rPr>
              <w:t>PCIe</w:t>
            </w:r>
            <w:proofErr w:type="spellEnd"/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601FE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Minimum dwa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sloty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PCIe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x8 pełnej wysokości oraz minimum dwa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sloty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PCIe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x16.</w:t>
            </w:r>
          </w:p>
        </w:tc>
      </w:tr>
      <w:tr w:rsidR="000E7F05" w:rsidRPr="00C96530" w14:paraId="10FF3A69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688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D8DC3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Interfejsy sieciowe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44D41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Wbudowane minimum 2 porty typu Gigabit Ethernet Base-T.</w:t>
            </w:r>
          </w:p>
          <w:p w14:paraId="7A84812A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Jedna karta dwuportowa 10/25GbE SFP28 nie zajmująca slotów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PCIe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 xml:space="preserve"> wraz z modułami SFP+.</w:t>
            </w:r>
          </w:p>
          <w:p w14:paraId="485C1E32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Jedna karta dwuportowa 10/25GbE SFP28 wraz z modułami SFP+.</w:t>
            </w:r>
          </w:p>
        </w:tc>
      </w:tr>
      <w:tr w:rsidR="000E7F05" w:rsidRPr="00C96530" w14:paraId="1C1E2FE4" w14:textId="77777777" w:rsidTr="000E7F05">
        <w:tblPrEx>
          <w:jc w:val="left"/>
          <w:tblLook w:val="04A0" w:firstRow="1" w:lastRow="0" w:firstColumn="1" w:lastColumn="0" w:noHBand="0" w:noVBand="1"/>
        </w:tblPrEx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0843F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Kontroler RAID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1DE8" w14:textId="77777777" w:rsidR="000E7F05" w:rsidRPr="00C96530" w:rsidRDefault="000E7F05" w:rsidP="005B6F61">
            <w:pPr>
              <w:jc w:val="both"/>
              <w:textAlignment w:val="baseline"/>
              <w:rPr>
                <w:rFonts w:ascii="Calibri" w:eastAsiaTheme="majorEastAsia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eastAsiaTheme="majorEastAsia" w:hAnsi="Calibri" w:cs="Calibri"/>
                <w:color w:val="000000"/>
                <w:sz w:val="20"/>
                <w:szCs w:val="20"/>
              </w:rPr>
              <w:t>Zainstalowane 2 sprzętowe kontrolery wspierające poziomy RAID min. 0, 1, 5, 6, 10, 50, 60 z wbudowaną pamięcią cache min. 8GB</w:t>
            </w:r>
          </w:p>
        </w:tc>
      </w:tr>
      <w:tr w:rsidR="000E7F05" w:rsidRPr="00C96530" w14:paraId="25C1DEEE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403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FF2CD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Dyski twarde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28C6B" w14:textId="77777777" w:rsidR="000E7F05" w:rsidRPr="00C96530" w:rsidRDefault="000E7F05" w:rsidP="005B6F61">
            <w:pPr>
              <w:jc w:val="both"/>
              <w:textAlignment w:val="baseline"/>
              <w:rPr>
                <w:rFonts w:ascii="Calibri" w:eastAsiaTheme="majorEastAsia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eastAsiaTheme="majorEastAsia" w:hAnsi="Calibri" w:cs="Calibri"/>
                <w:color w:val="000000"/>
                <w:sz w:val="20"/>
                <w:szCs w:val="20"/>
              </w:rPr>
              <w:t xml:space="preserve">Zainstalowanych 16 dysków 3,84TB </w:t>
            </w:r>
            <w:proofErr w:type="spellStart"/>
            <w:r w:rsidRPr="00C96530">
              <w:rPr>
                <w:rFonts w:ascii="Calibri" w:eastAsiaTheme="majorEastAsia" w:hAnsi="Calibri" w:cs="Calibri"/>
                <w:color w:val="000000"/>
                <w:sz w:val="20"/>
                <w:szCs w:val="20"/>
              </w:rPr>
              <w:t>NVMe</w:t>
            </w:r>
            <w:proofErr w:type="spellEnd"/>
            <w:r w:rsidRPr="00C96530">
              <w:rPr>
                <w:rFonts w:ascii="Calibri" w:eastAsiaTheme="majorEastAsia" w:hAnsi="Calibri" w:cs="Calibri"/>
                <w:color w:val="000000"/>
                <w:sz w:val="20"/>
                <w:szCs w:val="20"/>
              </w:rPr>
              <w:t>, E3s każdy, do intensywnego odczytu</w:t>
            </w:r>
          </w:p>
        </w:tc>
      </w:tr>
      <w:tr w:rsidR="000E7F05" w:rsidRPr="00C96530" w14:paraId="3224DC58" w14:textId="77777777" w:rsidTr="000E7F05">
        <w:tblPrEx>
          <w:jc w:val="left"/>
          <w:tblLook w:val="04A0" w:firstRow="1" w:lastRow="0" w:firstColumn="1" w:lastColumn="0" w:noHBand="0" w:noVBand="1"/>
        </w:tblPrEx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2262E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 xml:space="preserve">Dyski dla </w:t>
            </w:r>
            <w:proofErr w:type="spellStart"/>
            <w:r w:rsidRPr="00C96530">
              <w:rPr>
                <w:rFonts w:ascii="Calibri" w:hAnsi="Calibri" w:cs="Calibri"/>
                <w:b/>
                <w:sz w:val="20"/>
                <w:szCs w:val="20"/>
              </w:rPr>
              <w:t>wirtualizatora</w:t>
            </w:r>
            <w:proofErr w:type="spellEnd"/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F84C3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Zainstalowana karta z dwoma dyskami 480GB SSD M.2 zorganizowanymi w RAID 1, umożliwiającymi instalację oraz start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wirtualizatora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</w:p>
        </w:tc>
      </w:tr>
      <w:tr w:rsidR="000E7F05" w:rsidRPr="00C96530" w14:paraId="201B4A70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444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5FBF4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Wbudowane porty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F8D45" w14:textId="77777777" w:rsidR="000E7F05" w:rsidRPr="00C96530" w:rsidRDefault="000E7F05" w:rsidP="005B6F61">
            <w:pPr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min. 2 porty USB 2.0 oraz 1 port USB 3.0, 1 port VGA na przednim panelu</w:t>
            </w:r>
          </w:p>
        </w:tc>
      </w:tr>
      <w:tr w:rsidR="000E7F05" w:rsidRPr="00C96530" w14:paraId="2277F7F9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449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37145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Video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D41F3" w14:textId="77777777" w:rsidR="000E7F05" w:rsidRPr="00C96530" w:rsidRDefault="000E7F05" w:rsidP="005B6F6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Zintegrowana karta graficzna umożliwiająca wyświetlenie rozdzielczości min. 1600x900.</w:t>
            </w:r>
          </w:p>
        </w:tc>
      </w:tr>
      <w:tr w:rsidR="000E7F05" w:rsidRPr="00C96530" w14:paraId="0C099F2F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465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0C620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Wentylatory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D9C14" w14:textId="77777777" w:rsidR="000E7F05" w:rsidRPr="00C96530" w:rsidRDefault="000E7F05" w:rsidP="005B6F61">
            <w:pPr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Redundantne hot-plug</w:t>
            </w:r>
          </w:p>
        </w:tc>
      </w:tr>
      <w:tr w:rsidR="000E7F05" w:rsidRPr="00C96530" w14:paraId="7757F3B0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323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C8179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Zasilacze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FF007" w14:textId="77777777" w:rsidR="000E7F05" w:rsidRPr="00C96530" w:rsidRDefault="000E7F05" w:rsidP="005B6F61">
            <w:pPr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Redundantne, Hot-Plug maksymalnie 2800W, klasy min.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Titanium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>.</w:t>
            </w:r>
          </w:p>
        </w:tc>
      </w:tr>
      <w:tr w:rsidR="000E7F05" w:rsidRPr="00C96530" w14:paraId="10260D82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326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C9B28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Bezpieczeństwo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8F684" w14:textId="77777777" w:rsidR="000E7F05" w:rsidRPr="00C96530" w:rsidRDefault="000E7F05" w:rsidP="005B6F61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C96530">
              <w:rPr>
                <w:rFonts w:ascii="Calibri" w:hAnsi="Calibri" w:cs="Calibri"/>
                <w:bCs/>
                <w:sz w:val="20"/>
                <w:szCs w:val="20"/>
              </w:rPr>
              <w:t>TPM min. 2.0</w:t>
            </w:r>
          </w:p>
        </w:tc>
      </w:tr>
      <w:tr w:rsidR="000E7F05" w:rsidRPr="00C96530" w14:paraId="254E0B6A" w14:textId="77777777" w:rsidTr="000E7F05">
        <w:tblPrEx>
          <w:jc w:val="left"/>
          <w:tblLook w:val="04A0" w:firstRow="1" w:lastRow="0" w:firstColumn="1" w:lastColumn="0" w:noHBand="0" w:noVBand="1"/>
        </w:tblPrEx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0E8C1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Karta Zarządzania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DF441" w14:textId="77777777" w:rsidR="000E7F05" w:rsidRPr="00C96530" w:rsidRDefault="000E7F05" w:rsidP="005B6F61">
            <w:pPr>
              <w:textAlignment w:val="baseline"/>
              <w:rPr>
                <w:rFonts w:ascii="Calibri" w:hAnsi="Calibri" w:cs="Calibri"/>
                <w:lang w:eastAsia="en-US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  <w:lang w:eastAsia="en-US"/>
              </w:rPr>
              <w:t>Niezależna od zainstalowanego na serwerze systemu operacyjnego posiadająca dedykowany port RJ-45 Gigabit Ethernet umożliwiająca: </w:t>
            </w:r>
          </w:p>
          <w:p w14:paraId="0AA027AD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zdalny dostęp do graficznego interfejsu Web karty zarządzającej </w:t>
            </w:r>
          </w:p>
          <w:p w14:paraId="3D1EC4F4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szyfrowane połączenie (TLS) oraz autentykacje i autoryzację użytkownika </w:t>
            </w:r>
          </w:p>
          <w:p w14:paraId="6076ABD1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podmontowania zdalnych wirtualnych napędów </w:t>
            </w:r>
          </w:p>
          <w:p w14:paraId="43AA4F56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wirtualną konsolę z dostępem do myszy, klawiatury </w:t>
            </w:r>
          </w:p>
          <w:p w14:paraId="77B26AFC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wsparcie dla IPv6 </w:t>
            </w:r>
          </w:p>
          <w:p w14:paraId="12BF3019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wsparcie dla SNMP; IPMI2.0, VLAN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tagging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SSH </w:t>
            </w:r>
          </w:p>
          <w:p w14:paraId="4BA4EDF2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możliwość zdalnego monitorowania w czasie rzeczywistym poboru prądu przez serwer, dane historyczne powinny być dostępne przez min. 7 dni wstecz. </w:t>
            </w:r>
          </w:p>
          <w:p w14:paraId="114945F7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zdalnego ustawienia limitu poboru prądu przez konkretny serwer </w:t>
            </w:r>
          </w:p>
          <w:p w14:paraId="430DE188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integracja z Active Directory </w:t>
            </w:r>
          </w:p>
          <w:p w14:paraId="0691FF38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obsługi przez ośmiu administratorów jednocześnie </w:t>
            </w:r>
          </w:p>
          <w:p w14:paraId="29F8AE88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Wsparcie dla automatycznej rejestracji DNS </w:t>
            </w:r>
          </w:p>
          <w:p w14:paraId="444C712C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wsparcie dla LLDP </w:t>
            </w:r>
          </w:p>
          <w:p w14:paraId="439E6FB0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wysyłanie do administratora maila z powiadomieniem o awarii lub zmianie konfiguracji sprzętowej </w:t>
            </w:r>
          </w:p>
          <w:p w14:paraId="302F9073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podłączenia lokalnego poprzez złącze RS-232. </w:t>
            </w:r>
          </w:p>
          <w:p w14:paraId="2BC559A1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możliwość zarządzania bezpośredniego poprzez złącze micro USB umieszczone na froncie obudowy. </w:t>
            </w:r>
          </w:p>
          <w:p w14:paraId="4D0C44C3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Monitorowanie zużycia dysków SSD </w:t>
            </w:r>
          </w:p>
          <w:p w14:paraId="6AB6CD6C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monitorowania z jednej konsoli min. 100 serwerami fizycznymi, </w:t>
            </w:r>
          </w:p>
          <w:p w14:paraId="01F3873F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Automatyczne zgłaszanie alertów do centrum serwisowego producenta </w:t>
            </w:r>
          </w:p>
          <w:p w14:paraId="76983BA6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Automatyczne update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firmware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dla wszystkich komponentów serwera </w:t>
            </w:r>
          </w:p>
          <w:p w14:paraId="49353F40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Możliwość przywrócenia poprzednich wersji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firmware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1AC8530B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eksportu eksportu/importu konfiguracji (ustawienie karty zarządzającej, BIOS-u, kart sieciowych, HBA oraz konfiguracji kontrolera RAID) serwera do pliku XML lub JSON </w:t>
            </w:r>
          </w:p>
          <w:p w14:paraId="122689D7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Możliwość zaimportowania ustawień, poprzez bezpośrednie podłączenie plików konfiguracyjnych </w:t>
            </w:r>
          </w:p>
          <w:p w14:paraId="6B82C376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Automatyczne tworzenie kopii ustawień serwera w oparciu o harmonogram. </w:t>
            </w:r>
          </w:p>
          <w:p w14:paraId="12917537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Możliwość wykrywania odchyleń konfiguracji na poziomie konfiguracji UEFI oraz wersji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firmware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 xml:space="preserve"> serwera</w:t>
            </w:r>
          </w:p>
          <w:p w14:paraId="714A6F75" w14:textId="77777777" w:rsidR="000E7F05" w:rsidRPr="00C96530" w:rsidRDefault="000E7F05" w:rsidP="000E7F05">
            <w:pPr>
              <w:numPr>
                <w:ilvl w:val="0"/>
                <w:numId w:val="6"/>
              </w:numPr>
              <w:spacing w:line="259" w:lineRule="auto"/>
              <w:ind w:left="360" w:firstLine="0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Serwer musi posiadać możliwość uruchomienia funkcjonalności umożliwiającej dostęp bezpośredni poprzez urządzenia </w:t>
            </w:r>
            <w:proofErr w:type="gram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mobilne  -</w:t>
            </w:r>
            <w:proofErr w:type="gram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serwer musi posiadać możliwość konfiguracji oraz monitoringu najważniejszych komponentów serwera przy użyciu dedykowanej aplikacji mobilnej min. (Android/ Apple iOS) przy użyciu jednego z protokołów BLE lub WIFI. </w:t>
            </w:r>
          </w:p>
          <w:p w14:paraId="4FA2C959" w14:textId="77777777" w:rsidR="000E7F05" w:rsidRPr="00C96530" w:rsidRDefault="000E7F05" w:rsidP="005B6F61">
            <w:pPr>
              <w:spacing w:before="12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rozszerzenia funkcjonalności karty o:</w:t>
            </w:r>
          </w:p>
          <w:p w14:paraId="33134043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możliwość wysyłania danych o stanie procesora, kart sieciowych, zasilaczy, kart GPU, lokalnych dysków i urządzeń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NVMe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>, jak również dane wydajnościowe serwera do zewnętrznych</w:t>
            </w:r>
          </w:p>
          <w:p w14:paraId="04951785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kontrola stanu BIOS pod kątem naruszenia integralności oprogramowania</w:t>
            </w:r>
          </w:p>
          <w:p w14:paraId="66B4003D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Automatyczne odświeżanie certyfikatów SSL</w:t>
            </w:r>
          </w:p>
          <w:p w14:paraId="227A0379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możliwość wykorzystania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tokenu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 xml:space="preserve"> lub aplikacji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SecurID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 xml:space="preserve"> do uwierzytelniania wielkoskładnikowego przy logowaniu do karty zarządzającej</w:t>
            </w:r>
          </w:p>
          <w:p w14:paraId="3DE3EE3B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możliwość modyfikacji reguł chłodzenia kart w slotach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PCIe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>, z możliwością własnych ustawień</w:t>
            </w:r>
          </w:p>
          <w:p w14:paraId="6C372CE4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możliwość ustawienia limitu temperatury powietrza wychodzącego z serwera</w:t>
            </w:r>
          </w:p>
          <w:p w14:paraId="1BC21068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możliwość ustawienia dopuszczalnego wzrostu temperatury powietrza przepływającego przez serwer</w:t>
            </w:r>
          </w:p>
          <w:p w14:paraId="7EFC16B5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możliwość ustawienia maksymalnej temperatury powietrza dochodzącego do slotów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PCIe</w:t>
            </w:r>
            <w:proofErr w:type="spellEnd"/>
          </w:p>
          <w:p w14:paraId="28000F0C" w14:textId="77777777" w:rsidR="000E7F05" w:rsidRPr="00C96530" w:rsidRDefault="000E7F05" w:rsidP="000E7F05">
            <w:pPr>
              <w:numPr>
                <w:ilvl w:val="0"/>
                <w:numId w:val="7"/>
              </w:numPr>
              <w:spacing w:line="259" w:lineRule="auto"/>
              <w:ind w:left="360" w:firstLine="0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monitorowanie przepływu powietrza na bieżąco</w:t>
            </w:r>
          </w:p>
        </w:tc>
      </w:tr>
      <w:tr w:rsidR="000E7F05" w:rsidRPr="00C96530" w14:paraId="488EE1D5" w14:textId="77777777" w:rsidTr="000E7F05">
        <w:tblPrEx>
          <w:jc w:val="left"/>
          <w:tblLook w:val="04A0" w:firstRow="1" w:lastRow="0" w:firstColumn="1" w:lastColumn="0" w:noHBand="0" w:noVBand="1"/>
        </w:tblPrEx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8A2FF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Oprogramowanie do zarządzania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1E109" w14:textId="77777777" w:rsidR="000E7F05" w:rsidRPr="00C96530" w:rsidRDefault="000E7F05" w:rsidP="005B6F61">
            <w:pPr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 Możliwość zainstalowania oprogramowania producenta do zarządzania, spełniające poniższe wymagania:</w:t>
            </w:r>
          </w:p>
          <w:p w14:paraId="5E92EC49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Wsparcie dla serwerów, urządzeń sieciowych oraz pamięci masowych </w:t>
            </w:r>
          </w:p>
          <w:p w14:paraId="457F9A70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integracja z Active Directory </w:t>
            </w:r>
          </w:p>
          <w:p w14:paraId="4B54A66F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zarządzania dostarczonymi serwerami bez udziału dedykowanego agenta </w:t>
            </w:r>
          </w:p>
          <w:p w14:paraId="0981D1CF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Wsparcie dla protokołów SNMP, IPMI, Linux SSH,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Redfish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545AB1BD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uruchamiania procesu wykrywania urządzeń w oparciu o harmonogram </w:t>
            </w:r>
          </w:p>
          <w:p w14:paraId="36617AB3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Szczegółowy opis wykrytych systemów oraz ich komponentów </w:t>
            </w:r>
          </w:p>
          <w:p w14:paraId="54ACF31A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eksportu raportu do CSV, HTML, XLS, PDF </w:t>
            </w:r>
          </w:p>
          <w:p w14:paraId="09F710A1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tworzenia własnych raportów w oparciu o wszystkie informacje zawarte w inwentarzu. </w:t>
            </w:r>
          </w:p>
          <w:p w14:paraId="66459E58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Grupowanie urządzeń w oparciu o kryteria użytkownika </w:t>
            </w:r>
          </w:p>
          <w:p w14:paraId="17D8761B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Tworzenie automatycznie grup urządzeń w oparciu o dowolny element konfiguracji serwera np. Nazwa, lokalizacja, system operacyjny, obsadzenie slotów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PCIe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, pozostałego czasu gwarancji </w:t>
            </w:r>
          </w:p>
          <w:p w14:paraId="66379F01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uruchamiania narzędzi zarządzających w poszczególnych urządzeniach </w:t>
            </w:r>
          </w:p>
          <w:p w14:paraId="7EDBE837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Szybki podgląd stanu środowiska </w:t>
            </w:r>
          </w:p>
          <w:p w14:paraId="556873AD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Podsumowanie stanu dla każdego urządzenia </w:t>
            </w:r>
          </w:p>
          <w:p w14:paraId="232A8AB1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Szczegółowy status urządzenia/elementu/komponentu </w:t>
            </w:r>
          </w:p>
          <w:p w14:paraId="32176FC9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Generowanie alertów przy zmianie stanu urządzenia. </w:t>
            </w:r>
          </w:p>
          <w:p w14:paraId="4828306F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Filtry raportów umożliwiające podgląd najważniejszych zdarzeń </w:t>
            </w:r>
          </w:p>
          <w:p w14:paraId="48D6F7ED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Integracja z service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desk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producenta dostarczonej platformy sprzętowej </w:t>
            </w:r>
          </w:p>
          <w:p w14:paraId="79F2249F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przejęcia zdalnego pulpitu </w:t>
            </w:r>
          </w:p>
          <w:p w14:paraId="5973ECAF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podmontowania wirtualnego napędu </w:t>
            </w:r>
          </w:p>
          <w:p w14:paraId="4F4BD867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Kreator umożliwiający dostosowanie akcji dla wybranych alertów </w:t>
            </w:r>
          </w:p>
          <w:p w14:paraId="2BB9D7AA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Możliwość importu plików MIB </w:t>
            </w:r>
          </w:p>
          <w:p w14:paraId="13934BFC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Przesyłanie alertów „as-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is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” do innych konsol firm trzecich </w:t>
            </w:r>
          </w:p>
          <w:p w14:paraId="14D6B101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definiowania ról administratorów </w:t>
            </w:r>
          </w:p>
          <w:p w14:paraId="0B513E85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zdalnej aktualizacji oprogramowania wewnętrznego serwerów </w:t>
            </w:r>
          </w:p>
          <w:p w14:paraId="46D82EE9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Aktualizacja oparta o wybranie źródła bibliotek (lokalna, on-line producenta oferowanego rozwiązania) </w:t>
            </w:r>
          </w:p>
          <w:p w14:paraId="6E8C7C21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instalacji oprogramowania wewnętrznego bez potrzeby instalacji agenta </w:t>
            </w:r>
          </w:p>
          <w:p w14:paraId="1E82F5E0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Możliwość automatycznego generowania i zgłaszania incydentów awarii bezpośrednio do centrum serwisowego producenta serwerów </w:t>
            </w:r>
          </w:p>
          <w:p w14:paraId="211F5DD4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Moduł raportujący pozwalający na wygenerowanie następujących informacji: nr seryjne sprzętu, konfiguracja poszczególnych urządzeń, wersje oprogramowania wewnętrznego, obsadzenie slotów PCI i gniazd pamięci, informację o maszynach wirtualnych, aktualne informacje o stanie i poziomie gwarancji, adresy IP kart sieciowych, występujących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aletrów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, MAC adresów kart sieciowych, stanie poszczególnych komponentów serwera</w:t>
            </w:r>
            <w:r w:rsidRPr="00C96530">
              <w:rPr>
                <w:rFonts w:ascii="Calibri" w:hAnsi="Calibri" w:cs="Calibri"/>
                <w:sz w:val="20"/>
                <w:szCs w:val="20"/>
              </w:rPr>
              <w:t>. </w:t>
            </w:r>
          </w:p>
          <w:p w14:paraId="4B5F647C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Możliwość tworzenia sprzętowej konfiguracji bazowej i na jej podstawie weryfikacji środowiska w celu wykrycia rozbieżności. </w:t>
            </w:r>
          </w:p>
          <w:p w14:paraId="259EB40D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Wdrażanie serwerów, rozwiązań modularnych oraz przełączników sieciowych w oparciu o profile </w:t>
            </w:r>
          </w:p>
          <w:p w14:paraId="546E29BE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Możliwość migracji ustawień serwera wraz z wirtualnymi adresami sieciowymi (MAC, WWN, IQN) między urządzeniami. </w:t>
            </w:r>
          </w:p>
          <w:p w14:paraId="214441C1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Tworzenie gotowych paczek informacji umożliwiających zdiagnozowanie awarii urządzenia przez serwis producenta. </w:t>
            </w:r>
          </w:p>
          <w:p w14:paraId="529B59E3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Zdalne uruchamianie diagnostyki serwera. </w:t>
            </w:r>
          </w:p>
          <w:p w14:paraId="2CD42BF6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Dedykowana aplikacja na urządzenia mobilne integrująca się z wyżej opisanymi oprogramowaniem zarządzającym. </w:t>
            </w:r>
          </w:p>
          <w:p w14:paraId="62A755AE" w14:textId="77777777" w:rsidR="000E7F05" w:rsidRPr="00C96530" w:rsidRDefault="000E7F05" w:rsidP="000E7F05">
            <w:pPr>
              <w:numPr>
                <w:ilvl w:val="0"/>
                <w:numId w:val="5"/>
              </w:numPr>
              <w:ind w:left="360" w:firstLine="0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 xml:space="preserve">Oprogramowanie dostarczane jako wirtualny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appliance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 xml:space="preserve"> dla KVM, </w:t>
            </w:r>
            <w:proofErr w:type="spellStart"/>
            <w:r w:rsidRPr="00C96530">
              <w:rPr>
                <w:rFonts w:ascii="Calibri" w:hAnsi="Calibri" w:cs="Calibri"/>
                <w:sz w:val="20"/>
                <w:szCs w:val="20"/>
              </w:rPr>
              <w:t>ESXi</w:t>
            </w:r>
            <w:proofErr w:type="spellEnd"/>
            <w:r w:rsidRPr="00C96530">
              <w:rPr>
                <w:rFonts w:ascii="Calibri" w:hAnsi="Calibri" w:cs="Calibri"/>
                <w:sz w:val="20"/>
                <w:szCs w:val="20"/>
              </w:rPr>
              <w:t xml:space="preserve"> i Hyper-V. </w:t>
            </w:r>
          </w:p>
        </w:tc>
      </w:tr>
      <w:tr w:rsidR="000E7F05" w:rsidRPr="00C96530" w14:paraId="3F635CF0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179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A7841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Dołączone oprogramowanie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42137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System wirtualizacji spełniający poniższe wymagania minimalne:</w:t>
            </w:r>
          </w:p>
          <w:p w14:paraId="295B1F63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Rozwiązanie musi zapewnić możliwość natywnej obsługi wielu instancji maszyn wirtualnych i kontenerów na każdym serwerze fizycznym.</w:t>
            </w:r>
          </w:p>
          <w:p w14:paraId="27CFDBBA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Klaster fizycznych hostów (serwerów) z zainstalowaną warstwą wirtualizacji powinien skalować się bez nałożonych limitów licencyjnych.</w:t>
            </w:r>
          </w:p>
          <w:p w14:paraId="6C2D4256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Oprogramowanie do wirtualizacji musi zapewniać możliwość stworzenia dysku maszyny wirtualnej z funkcjonalnością przekazywania informacji TRIM/DISCARD do zasobów przechowywania danych oraz definiowanymi limitami prędkości odczytów i zapisów na utworzonym dysku, w wartościach MB/s oraz IOP/s wykonywanych na wybranym zasobie</w:t>
            </w:r>
          </w:p>
          <w:p w14:paraId="1F56E04B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Oprogramowanie do wirtualizacji musi zapewnić możliwość skonfigurowania maszyn wirtualnych na danym serwerze z możliwością sumarycznego przydzielenia puli pamięci operacyjnej RAM większej niż dostępna w działającym serwerze, nie mniej niż 192GB</w:t>
            </w:r>
          </w:p>
          <w:p w14:paraId="62E76B3F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Oprogramowanie do wirtualizacji musi zapewnić możliwość skonfigurowania maszyn wirtualnych, z których każda może mieć skonfigurowanie od 1 do co najmniej 12 wirtualnych kart sieciowych.</w:t>
            </w:r>
          </w:p>
          <w:p w14:paraId="630A2D18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Oprogramowanie do wirtualizacji musi zapewnić możliwość skonfigurowania przekierowania używanych portów USB do maszyn wirtualnych w trybie „hot plug”, zarówno za pomocą nr portu jak i numerów identyfikacyjnych ‘Producent/Urządzenie’. </w:t>
            </w:r>
          </w:p>
          <w:p w14:paraId="1870F06D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Oprogramowanie do wirtualizacji musi zapewnić możliwość skonfigurowania przekierowania używanych fizycznych urządzeń zainstalowanych w gniazdach PCI/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PCIe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serwera wraz z przekierowaniem akceleratorów GPU.</w:t>
            </w:r>
          </w:p>
          <w:p w14:paraId="3FC43EFE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umożliwiać łatwą i szybką rozbudowę infrastruktury o nowe usługi bez spadku wydajności i dostępności pozostałych wybranych usług.</w:t>
            </w:r>
          </w:p>
          <w:p w14:paraId="66B1755B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powinno w możliwie największym stopniu być niezależne od producenta platformy sprzętowej.</w:t>
            </w:r>
          </w:p>
          <w:p w14:paraId="40F01128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wspierać m.in. następujące systemy operacyjne: Windows XP/7/8/10/11, Windows Server 2012/2016/2019/2022, Systemy z rodziny Linux (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kernel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2.4 – 6.0)</w:t>
            </w:r>
          </w:p>
          <w:p w14:paraId="54CEF0FD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System wirtualizacji musi wspierać konfigurację w trybie graficznym rozwiązań zarówno dla obiektowego przechowywania danych jak i technik ‘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erasure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coding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’ z użyciem osobnych urządzeń typu SSD do hybrydowych operacji z udziałem metadanych, w celu uzyskania redundancji bezpieczeństwa operacji na danych, ich przechowywania i maksymalnej wydajności.</w:t>
            </w:r>
          </w:p>
          <w:p w14:paraId="2200025D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Oprogramowanie do wirtualizacji powinno zapewnić możliwość wykonywania manualnych i zautomatyzowanych kopii pełnych oraz migawkowych (tzw.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snapshot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) instancji maszyn wirtualnych na potrzeby tworzenia kopii zapasowych bez przerywania pracy systemów. Wbudowana w interfejs graficzny konfiguracja zautomatyzowanych kopii maszyn wirtualnych oraz kontenerów powinna umożliwiać wyłączenie z procesu archiwizacji wybranych dysków wirtualnych w maszynach, dowolne harmonogramowanie zadań, wybór kompresji (m.in. ZSTD), poziomy ilościowe i jakościowe retencji oraz dodanie komentarzy.</w:t>
            </w:r>
          </w:p>
          <w:p w14:paraId="75676533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System musi posiadać funkcjonalność wirtualnego przełącznika sieciowego umożliwiającego tworzenie sieci wirtualnej w obszarze hosta i pozwalającego połączyć maszyny wirtualne w obszarze jednego hosta, a także na zewnątrz sieci fizycznej. Pojedynczy przełącznik wirtualny powinien mieć możliwość konfiguracji powyżej 4 000 portów.</w:t>
            </w:r>
          </w:p>
          <w:p w14:paraId="1AA2574E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Pojedynczy wirtualny przełącznik musi posiadać możliwość przyłączania do niego dwóch i więcej fizycznych kart sieciowych, aby zapewnić bezpieczeństwo połączenia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ethernetowego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w razie awarii fizycznej karty sieciowej. Wspierane powinny być technologie redundancji i balansowania LACP (802.3ad) do warstwy 3+4 włącznie.</w:t>
            </w:r>
          </w:p>
          <w:p w14:paraId="60FC15E3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Wirtualne przełączniki muszą obsługiwać wirtualne sieci lokalne (VLAN).</w:t>
            </w:r>
          </w:p>
          <w:p w14:paraId="41E09B67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Oprogramowanie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powinno być licencjonowane w oparciu o licencję GNU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Affero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GPL, v3. W innym przypadku polityka licencjonowania musi umożliwiać przenoszenie licencji na oprogramowanie do wirtualizacji pomiędzy serwerami różnych producentów z zachowaniem wsparcia technicznego, bez względu na ilość dostępnych zasobów sprzętowych tj. ilość gniazd/rdzeni CPU, pamięci RAM, wszelkich kontrolerów i zasobów magazynów danych. Wsparcie techniczne dla błędów oprogramowania musi być świadczone bezpośrednio przez producenta oprogramowania. Sposób licencjonowania lub subskrypcji musi umożliwiać rozszerzenie wsparcia o dodatkowe usługi zdalnego łączenia się inżyniera producenta oprogramowania do zgłoszonego serwera.</w:t>
            </w:r>
          </w:p>
          <w:p w14:paraId="60B69482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Oprogramowanie do wirtualizacji musi zawierać zintegrowaną funkcjonalność do zarządzania poprawkami i podnoszenia wersji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wirtualizatora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  <w:p w14:paraId="576C341D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Oprogramowanie do wirtualizacji musi zapewnić możliwość klonowania systemów operacyjnych wraz z ich pełną konfiguracją i danymi, również w trybie działającej </w:t>
            </w:r>
            <w:proofErr w:type="gram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maszyny</w:t>
            </w:r>
            <w:proofErr w:type="gram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która jest klonowana.</w:t>
            </w:r>
          </w:p>
          <w:p w14:paraId="6D182429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Oprogramowanie do wirtualizacji musi posiadać możliwość integracji z usługami katalogowymi Microsoft Active Directory.</w:t>
            </w:r>
          </w:p>
          <w:p w14:paraId="52301AC0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posiadać wbudowany interfejs programistyczny (API) zapewniający integrację zewnętrznych rozwiązań wykonywania kopii zapasowych z istniejącymi mechanizmami warstwy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wirtualizacyjnej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  <w:p w14:paraId="1A7F1A49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posiadać centralną konsolę graficzną do zarządzania maszynami wirtualnymi i do konfigurowania innych funkcjonalności. Centralna konsola graficzna dostarczana jest w postaci gotowej, wstępnie skonfigurowanej. Dostęp do konsoli powinien być realizowany z poziomu przeglądarki internetowej z wykorzystaniem protokołu HTML5 i zabezpieczony certyfikatem SSL</w:t>
            </w:r>
          </w:p>
          <w:p w14:paraId="19201087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zapewnić możliwość bieżącego monitorowania wykorzystania zasobów fizycznych infrastruktury wirtualnej (np. wykorzystanie procesorów, pamięci RAM, wykorzystanie przestrzeni na dyskach/wolumenach) oraz przechowywać i wyświetlać dane historyczne. </w:t>
            </w:r>
          </w:p>
          <w:p w14:paraId="7E26D2BF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mieć zaimplementowany firewall, natywnie konfigurowalny w web GUI, z rozróżnieniem dla każdego serwera w klastrze.</w:t>
            </w:r>
          </w:p>
          <w:p w14:paraId="326FE312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zapewniać mechanizm replikacji wskazanych maszyn wirtualnych pomiędzy różnymi systemami pamięci masowych.</w:t>
            </w:r>
          </w:p>
          <w:p w14:paraId="096702C8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mieć możliwość migracji maszyn wirtualnych w czasie ich pracy oraz w trybie wyłączonym pomiędzy serwerami fizycznymi. Mechanizm powinien umożliwiać konfigurację min. 8 procesów przenoszenia jednocześnie.</w:t>
            </w:r>
          </w:p>
          <w:p w14:paraId="4FE272F2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Rozwiązanie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wirtualizacyjne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musi zapewniać funkcjonalność z poziomu konsoli graficznej przypisywania dla konkretnej maszyny wirtualnej wybranych rdzeni konkretnego procesora lub grupy rdzeni procesorów w serwerze.</w:t>
            </w:r>
          </w:p>
          <w:p w14:paraId="3D6081E9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System zapewnia odpowiednią redundancję dla uruchomionych usług w oparciu o mechanizm wysokiej dostępności (HA), aby w przypadku awarii lub niedostępności co najmniej 2 serwerów fizycznych w klastrze, wybrane przez administratora i uruchomione w nim wirtualne maszyny oraz kontenery zostały uruchomione na innych serwerach w tym samym klastrze. Rozwiązanie musi posiadać co najmniej dwie, dedykowane, dodatkowo redundantne sieci wzajemnej komunikacji między serwerami w klastrze, niezależnie dla warstwy synchronizacji pracy (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hypervisorów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) klastra oraz niezależnie dla warstwy współdzielonej w klastrze przestrzeni danych, gwarantujące właściwe działanie mechanizmów wysokiej dostępności dla usług na wypadek izolacji sieciowej serwerów fizycznych, awarii samych serwerów lub poszczególnych komponentów krytycznych w nich zawartych. Wymaga się, aby minimalnym pułapem poprawnego działania infrastruktury HCI z pełnym dostępem administracyjnym do danych było 60% sprawnie działających wszystkich zasobów.</w:t>
            </w:r>
          </w:p>
          <w:p w14:paraId="3A6492E0" w14:textId="77777777" w:rsidR="000E7F05" w:rsidRPr="00C96530" w:rsidRDefault="000E7F05" w:rsidP="000E7F05">
            <w:pPr>
              <w:pStyle w:val="Akapitzlist"/>
              <w:numPr>
                <w:ilvl w:val="0"/>
                <w:numId w:val="8"/>
              </w:numPr>
              <w:spacing w:line="259" w:lineRule="auto"/>
              <w:ind w:left="414" w:hanging="357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Dla oferowanego oprogramowania wymagane jest 12 miesięczne wsparcie techniczne producenta oprogramowania w zakresie dostępu do poprawek i uaktualnień. Dla tego samego okresu będzie realizowane wsparcie serwisowe, które będzie obejmować możliwość tworzenia zgłoszeń w trybie dni roboczych i czasem reakcji do 1 dnia roboczego.</w:t>
            </w:r>
          </w:p>
        </w:tc>
      </w:tr>
      <w:tr w:rsidR="000E7F05" w:rsidRPr="00C96530" w14:paraId="4A70FBFA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1457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13A8D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Certyfikaty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02B7B" w14:textId="77777777" w:rsidR="000E7F05" w:rsidRPr="00C96530" w:rsidRDefault="000E7F05" w:rsidP="005B6F61">
            <w:pPr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Serwer musi być wyprodukowany zgodnie z </w:t>
            </w:r>
            <w:proofErr w:type="gram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normą  ISO</w:t>
            </w:r>
            <w:proofErr w:type="gram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-9001:2015 oraz ISO-14001. </w:t>
            </w: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Serwer musi posiadać deklaracja CE.</w:t>
            </w: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Oferowany serwer musi znajdować się na liście Windows Server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Catalog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i posiadać status „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Certified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for Windows” dla systemów Microsoft Windows Server 2019, Microsoft Windows Server 2022.</w:t>
            </w:r>
          </w:p>
        </w:tc>
      </w:tr>
      <w:tr w:rsidR="000E7F05" w:rsidRPr="00C96530" w14:paraId="2696E14D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F8E0B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bCs/>
                <w:sz w:val="20"/>
                <w:szCs w:val="20"/>
              </w:rPr>
              <w:t>Normy Środowiskowe</w:t>
            </w:r>
            <w:r w:rsidRPr="00C96530">
              <w:rPr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92F3D" w14:textId="77777777" w:rsidR="000E7F05" w:rsidRPr="00C96530" w:rsidRDefault="000E7F05" w:rsidP="005B6F61">
            <w:pPr>
              <w:jc w:val="both"/>
              <w:textAlignment w:val="baseline"/>
              <w:rPr>
                <w:rFonts w:ascii="Calibri" w:hAnsi="Calibri" w:cs="Calibri"/>
                <w:color w:val="00000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Oferowane produkty muszą zawierać informacje dotyczące ponownego użycia i recyklingu, nie mogą zawierać farb i powłok na dużych plastikowych częściach, których nie da się poddać recyklingowi lub ponownie użyć. Wszystkie produkty zawierające podzespoły elektroniczne oraz niebezpieczne składniki powinny być bezpiecznie i łatwo identyfikowalne oraz usuwalne. Usunięcie materiałów i komponentów powinno odbywać się zgodnie z wymogami Dyrektywy WEEE 2002/96/EC. Produkty muszą składać się z co najmniej w 65% ze składników wielokrotnego użytku/zdatnych do recyklingu. We wszystkich produktach części tworzyw sztucznych większe niż 25-gramowe powinny zawierać nie więcej niż śladowe ilości środków zmniejszających palność sklasyfikowanych w dyrektywie RE 67/548/EEC. Potwierdzeniem spełnienia powyższego wymogu jest wydruk ze strony internetowej www.epeat.net potwierdzający spełnienie normy co najmniej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Epeat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Silver według normy wprowadzonej w 2019 roku </w:t>
            </w:r>
            <w:r w:rsidRPr="00C96530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- </w:t>
            </w:r>
            <w:r w:rsidRPr="00C96530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Wykonawca złoży dokument potwierdzający spełnianie </w:t>
            </w:r>
            <w:r w:rsidRPr="00C96530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wymogu</w:t>
            </w:r>
            <w:r w:rsidRPr="00C96530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.</w:t>
            </w: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1F15F8BA" w14:textId="77777777" w:rsidR="000E7F05" w:rsidRPr="00C96530" w:rsidRDefault="000E7F05" w:rsidP="005B6F61">
            <w:pPr>
              <w:jc w:val="both"/>
              <w:textAlignment w:val="baseline"/>
              <w:rPr>
                <w:rFonts w:ascii="Calibri" w:hAnsi="Calibri" w:cs="Calibri"/>
                <w:color w:val="00000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  <w:p w14:paraId="28F3A893" w14:textId="77777777" w:rsidR="000E7F05" w:rsidRPr="00C96530" w:rsidRDefault="000E7F05" w:rsidP="005B6F61">
            <w:pPr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Potwierdzenie spełnienia kryteriów środowiskowych, w tym zgodności z dyrektywą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RoHS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Unii Europejskiej o eliminacji substancji niebezpiecznych </w:t>
            </w:r>
            <w:r w:rsidRPr="00C96530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w postaci oświadczenia producenta serwera.</w:t>
            </w:r>
          </w:p>
        </w:tc>
      </w:tr>
      <w:tr w:rsidR="000E7F05" w:rsidRPr="00C96530" w14:paraId="2BED5696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E0EE8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t>Warunki gwarancji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E9C25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3 lata gwarancji, zamawiający oczekuje możliwości zgłaszania zdarzeń serwisowych w trybie 24/7/365 następującymi kanałami: telefonicznie, przez Internet oraz z wykorzystaniem aplikacji. </w:t>
            </w: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Zamawiający oczekuje bezpośredniego dostępu do wykwalifikowanej kadry inżynierów technicznych, a w przypadku konieczności eskalacji zgłoszenia serwisowego wyznaczonego Kierownika Eskalacji po stronie wykonawcy.</w:t>
            </w:r>
          </w:p>
          <w:p w14:paraId="45D90451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Zamawiający wymaga pojedynczego punktu kontaktu dla całego rozwiązania producenta, w tym także oprogramowania.</w:t>
            </w:r>
          </w:p>
          <w:p w14:paraId="31877F34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Zgłoszenie przyjęte jest potwierdzane przez zespół pomocy technicznej (mail / telefon / aplikacja / portal) przez nadanie unikalnego numeru zgłoszenia pozwalającego na identyfikację zgłoszenia w trakcie realizacji naprawy i po jej zakończeniu.</w:t>
            </w:r>
          </w:p>
          <w:p w14:paraId="3627B752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Zamawiający oczekuje możliwości samodzielnego kwalifikowania poziomu ważności naprawy.</w:t>
            </w:r>
          </w:p>
          <w:p w14:paraId="2CB09EEE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Zamawiający oczekuje rozpoczęcia diagnostyki telefonicznej / internetowej już w momencie dokonania zgłoszenia. Certyfikowany Technik z właściwym zestawem części do naprawy (potwierdzonym wstępnie na etapie diagnostyki) ma rozpocząć naprawę w siedzibie zamawiającego najpóźniej w następnym dniu roboczym od otrzymania zgłoszenia. Naprawa ma się odbywać w siedzibie zamawiającego, chyba, że zamawiający dla danej naprawy zgodzi się na inną formę. </w:t>
            </w:r>
          </w:p>
          <w:p w14:paraId="0ECDD7A5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Dla najwyższego poziomu ważności (1) zgłoszenia (awarii krytycznej) - zamawiający oczekuje natychmiastowego wysłania technika serwisowego, niezależnie czy diagnostyka została już zakończona.</w:t>
            </w:r>
          </w:p>
          <w:p w14:paraId="09D69DDA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Zamawiający oczekuje nieodpłatnego udostępnienia narzędzi serwisowych i procesów wsparcia umożliwiających: Wykrywanie usterek sprzętowych z predykcją awarii </w:t>
            </w: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Automatyczną diagnostykę i zdalne otwieranie zgłoszeń serwisowych</w:t>
            </w:r>
          </w:p>
          <w:p w14:paraId="09725D8F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Na żądanie Zamawiającego należy dostarczyć oświadczenia Producenta potwierdzające, że Serwis urządzeń będzie realizowany bezpośrednio przez Producenta i/lub we współpracy z Autoryzowanym Partnerem Serwisowym Producenta. </w:t>
            </w:r>
          </w:p>
          <w:p w14:paraId="037BF49F" w14:textId="77777777" w:rsidR="000E7F05" w:rsidRPr="00C96530" w:rsidRDefault="000E7F05" w:rsidP="005B6F61">
            <w:pPr>
              <w:spacing w:after="120"/>
              <w:jc w:val="both"/>
              <w:textAlignment w:val="baseline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Na żądanie Zamawiającego należy dostarczyć oświadczenie producenta serwera, potwierdzające, że sprzęt pochodzi z oficjalnego kanału dystrybucyjnego producenta. </w:t>
            </w:r>
          </w:p>
          <w:p w14:paraId="456417AE" w14:textId="77777777" w:rsidR="000E7F05" w:rsidRPr="00C96530" w:rsidRDefault="000E7F05" w:rsidP="005B6F61">
            <w:pPr>
              <w:spacing w:after="120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Możliwość sprawdzenia statusu gwarancji poprzez stronę producenta podając unikatowy numer urządzenia, oraz pobieranie uaktualnień </w:t>
            </w:r>
            <w:proofErr w:type="spellStart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>mikrokodu</w:t>
            </w:r>
            <w:proofErr w:type="spellEnd"/>
            <w:r w:rsidRPr="00C9653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oraz sterowników nawet w przypadku wygaśnięcia gwarancji systemu. </w:t>
            </w:r>
          </w:p>
        </w:tc>
      </w:tr>
      <w:tr w:rsidR="000E7F05" w:rsidRPr="00C96530" w14:paraId="3B0C91E6" w14:textId="77777777" w:rsidTr="000E7F05">
        <w:tblPrEx>
          <w:jc w:val="left"/>
          <w:tblLook w:val="04A0" w:firstRow="1" w:lastRow="0" w:firstColumn="1" w:lastColumn="0" w:noHBand="0" w:noVBand="1"/>
        </w:tblPrEx>
        <w:trPr>
          <w:trHeight w:val="230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F934E" w14:textId="77777777" w:rsidR="000E7F05" w:rsidRPr="00C96530" w:rsidRDefault="000E7F05" w:rsidP="005B6F6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C96530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Dokumentacja użytkownika</w:t>
            </w:r>
          </w:p>
        </w:tc>
        <w:tc>
          <w:tcPr>
            <w:tcW w:w="8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2F6DF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sz w:val="20"/>
                <w:szCs w:val="20"/>
              </w:rPr>
              <w:t>Zamawiający wymaga dokumentacji w języku polskim lub angielskim.</w:t>
            </w:r>
          </w:p>
          <w:p w14:paraId="10A59332" w14:textId="77777777" w:rsidR="000E7F05" w:rsidRPr="00C96530" w:rsidRDefault="000E7F05" w:rsidP="005B6F6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C96530">
              <w:rPr>
                <w:rFonts w:ascii="Calibri" w:hAnsi="Calibri" w:cs="Calibri"/>
                <w:bCs/>
                <w:sz w:val="20"/>
                <w:szCs w:val="20"/>
              </w:rPr>
              <w:t>Możliwość telefonicznego sprawdzenia konfiguracji sprzętowej serwera oraz warunków gwarancji po podaniu numeru seryjnego bezpośrednio u producenta lub jego przedstawiciela.</w:t>
            </w:r>
          </w:p>
        </w:tc>
      </w:tr>
    </w:tbl>
    <w:p w14:paraId="1AE0AB6D" w14:textId="77777777" w:rsidR="00EB22A9" w:rsidRPr="003A2EF9" w:rsidRDefault="00EB22A9" w:rsidP="00914B21">
      <w:pPr>
        <w:rPr>
          <w:rFonts w:ascii="Arial" w:hAnsi="Arial" w:cs="Arial"/>
        </w:rPr>
      </w:pPr>
    </w:p>
    <w:sectPr w:rsidR="00EB22A9" w:rsidRPr="003A2EF9" w:rsidSect="000006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9365FE" w14:textId="77777777" w:rsidR="008A1680" w:rsidRDefault="008A1680">
      <w:r>
        <w:separator/>
      </w:r>
    </w:p>
  </w:endnote>
  <w:endnote w:type="continuationSeparator" w:id="0">
    <w:p w14:paraId="49EE635E" w14:textId="77777777" w:rsidR="008A1680" w:rsidRDefault="008A1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A0F537" w14:textId="77777777" w:rsidR="000E7F05" w:rsidRDefault="000E7F0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68495129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455DA75A" w14:textId="77777777" w:rsidR="00005027" w:rsidRDefault="00005027">
            <w:pPr>
              <w:pStyle w:val="Stopka"/>
              <w:jc w:val="right"/>
            </w:pPr>
            <w:r>
              <w:t xml:space="preserve">Strona </w:t>
            </w:r>
            <w:r w:rsidR="0000062B"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00062B">
              <w:rPr>
                <w:b/>
                <w:bCs/>
              </w:rPr>
              <w:fldChar w:fldCharType="separate"/>
            </w:r>
            <w:r w:rsidR="000E4C06">
              <w:rPr>
                <w:b/>
                <w:bCs/>
                <w:noProof/>
              </w:rPr>
              <w:t>1</w:t>
            </w:r>
            <w:r w:rsidR="0000062B">
              <w:rPr>
                <w:b/>
                <w:bCs/>
              </w:rPr>
              <w:fldChar w:fldCharType="end"/>
            </w:r>
            <w:r>
              <w:t xml:space="preserve"> z </w:t>
            </w:r>
            <w:r w:rsidR="0000062B"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00062B">
              <w:rPr>
                <w:b/>
                <w:bCs/>
              </w:rPr>
              <w:fldChar w:fldCharType="separate"/>
            </w:r>
            <w:r w:rsidR="000E4C06">
              <w:rPr>
                <w:b/>
                <w:bCs/>
                <w:noProof/>
              </w:rPr>
              <w:t>1</w:t>
            </w:r>
            <w:r w:rsidR="0000062B">
              <w:rPr>
                <w:b/>
                <w:bCs/>
              </w:rPr>
              <w:fldChar w:fldCharType="end"/>
            </w:r>
          </w:p>
        </w:sdtContent>
      </w:sdt>
    </w:sdtContent>
  </w:sdt>
  <w:p w14:paraId="34EA0BBA" w14:textId="77777777" w:rsidR="00005027" w:rsidRDefault="0000502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1ECC76" w14:textId="77777777" w:rsidR="000E7F05" w:rsidRDefault="000E7F0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1D23F4" w14:textId="77777777" w:rsidR="008A1680" w:rsidRDefault="008A1680">
      <w:r>
        <w:separator/>
      </w:r>
    </w:p>
  </w:footnote>
  <w:footnote w:type="continuationSeparator" w:id="0">
    <w:p w14:paraId="7F5B4ACD" w14:textId="77777777" w:rsidR="008A1680" w:rsidRDefault="008A1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EB81DF" w14:textId="77777777" w:rsidR="000E7F05" w:rsidRDefault="000E7F0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C3C910" w14:textId="3C8FEDEC" w:rsidR="00005027" w:rsidRDefault="00900625" w:rsidP="00005027">
    <w:pPr>
      <w:pStyle w:val="Nagwek"/>
      <w:jc w:val="right"/>
    </w:pPr>
    <w:r>
      <w:rPr>
        <w:noProof/>
      </w:rPr>
      <w:fldChar w:fldCharType="begin"/>
    </w:r>
    <w:r>
      <w:rPr>
        <w:noProof/>
      </w:rPr>
      <w:instrText xml:space="preserve"> FILENAME  \* FirstCap  \* MERGEFORMAT </w:instrText>
    </w:r>
    <w:r>
      <w:rPr>
        <w:noProof/>
      </w:rPr>
      <w:fldChar w:fldCharType="separate"/>
    </w:r>
    <w:r w:rsidR="000E7F05">
      <w:rPr>
        <w:noProof/>
      </w:rPr>
      <w:t>Załącznik nr A4</w:t>
    </w:r>
    <w:r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737C28" w14:textId="77777777" w:rsidR="000E7F05" w:rsidRDefault="000E7F0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94160A"/>
    <w:multiLevelType w:val="multilevel"/>
    <w:tmpl w:val="481E3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1F206C4"/>
    <w:multiLevelType w:val="hybridMultilevel"/>
    <w:tmpl w:val="5D18C5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3042C2"/>
    <w:multiLevelType w:val="hybridMultilevel"/>
    <w:tmpl w:val="A9E0989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917502"/>
    <w:multiLevelType w:val="hybridMultilevel"/>
    <w:tmpl w:val="1F987D2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F1D19FD"/>
    <w:multiLevelType w:val="multilevel"/>
    <w:tmpl w:val="76786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6AB54B6"/>
    <w:multiLevelType w:val="hybridMultilevel"/>
    <w:tmpl w:val="0F080BD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81D6E73"/>
    <w:multiLevelType w:val="multilevel"/>
    <w:tmpl w:val="22A6B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AF96B43"/>
    <w:multiLevelType w:val="multilevel"/>
    <w:tmpl w:val="8E5E1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37943528">
    <w:abstractNumId w:val="2"/>
  </w:num>
  <w:num w:numId="2" w16cid:durableId="725181995">
    <w:abstractNumId w:val="7"/>
  </w:num>
  <w:num w:numId="3" w16cid:durableId="2121803515">
    <w:abstractNumId w:val="3"/>
  </w:num>
  <w:num w:numId="4" w16cid:durableId="1827699058">
    <w:abstractNumId w:val="5"/>
  </w:num>
  <w:num w:numId="5" w16cid:durableId="870648019">
    <w:abstractNumId w:val="0"/>
  </w:num>
  <w:num w:numId="6" w16cid:durableId="854344094">
    <w:abstractNumId w:val="6"/>
  </w:num>
  <w:num w:numId="7" w16cid:durableId="383606032">
    <w:abstractNumId w:val="4"/>
  </w:num>
  <w:num w:numId="8" w16cid:durableId="3896901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removePersonalInformation/>
  <w:removeDateAndTime/>
  <w:activeWritingStyle w:appName="MSWord" w:lang="pl-PL" w:vendorID="12" w:dllVersion="512" w:checkStyle="1"/>
  <w:proofState w:spelling="clean" w:grammar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38A"/>
    <w:rsid w:val="0000062B"/>
    <w:rsid w:val="00001CAC"/>
    <w:rsid w:val="00005027"/>
    <w:rsid w:val="000E4C06"/>
    <w:rsid w:val="000E7F05"/>
    <w:rsid w:val="0010438A"/>
    <w:rsid w:val="00157180"/>
    <w:rsid w:val="00193820"/>
    <w:rsid w:val="001A2250"/>
    <w:rsid w:val="001B5397"/>
    <w:rsid w:val="001C2ED9"/>
    <w:rsid w:val="001E7315"/>
    <w:rsid w:val="001F060C"/>
    <w:rsid w:val="001F13F6"/>
    <w:rsid w:val="001F4F2D"/>
    <w:rsid w:val="00225369"/>
    <w:rsid w:val="00254D7D"/>
    <w:rsid w:val="003326FA"/>
    <w:rsid w:val="00337D8B"/>
    <w:rsid w:val="003472C2"/>
    <w:rsid w:val="00370B2C"/>
    <w:rsid w:val="0037258D"/>
    <w:rsid w:val="0037713B"/>
    <w:rsid w:val="003A2EF9"/>
    <w:rsid w:val="003B26AE"/>
    <w:rsid w:val="003C75AD"/>
    <w:rsid w:val="00493660"/>
    <w:rsid w:val="004C627C"/>
    <w:rsid w:val="0058173E"/>
    <w:rsid w:val="005C32D0"/>
    <w:rsid w:val="006073A7"/>
    <w:rsid w:val="00626BCD"/>
    <w:rsid w:val="00670EC5"/>
    <w:rsid w:val="00684B01"/>
    <w:rsid w:val="006B0799"/>
    <w:rsid w:val="006D4F26"/>
    <w:rsid w:val="00703F5C"/>
    <w:rsid w:val="007B1E1D"/>
    <w:rsid w:val="007F0E70"/>
    <w:rsid w:val="008963BB"/>
    <w:rsid w:val="008A1680"/>
    <w:rsid w:val="008A245E"/>
    <w:rsid w:val="008A701D"/>
    <w:rsid w:val="008C146E"/>
    <w:rsid w:val="00900625"/>
    <w:rsid w:val="00914B21"/>
    <w:rsid w:val="00935D58"/>
    <w:rsid w:val="009B4FAA"/>
    <w:rsid w:val="00A170A3"/>
    <w:rsid w:val="00A82DB5"/>
    <w:rsid w:val="00B65BF0"/>
    <w:rsid w:val="00BC6C7F"/>
    <w:rsid w:val="00C276EC"/>
    <w:rsid w:val="00C329A2"/>
    <w:rsid w:val="00CF2AE0"/>
    <w:rsid w:val="00CF703C"/>
    <w:rsid w:val="00D3549C"/>
    <w:rsid w:val="00D5282E"/>
    <w:rsid w:val="00DA3CE2"/>
    <w:rsid w:val="00DB5AEC"/>
    <w:rsid w:val="00DF10C5"/>
    <w:rsid w:val="00DF74B3"/>
    <w:rsid w:val="00E152A6"/>
    <w:rsid w:val="00E20D8F"/>
    <w:rsid w:val="00E23BF8"/>
    <w:rsid w:val="00E63C02"/>
    <w:rsid w:val="00E64035"/>
    <w:rsid w:val="00E7299E"/>
    <w:rsid w:val="00EB22A9"/>
    <w:rsid w:val="00EC690E"/>
    <w:rsid w:val="00ED0F59"/>
    <w:rsid w:val="00FE0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,"/>
  <w:listSeparator w:val=";"/>
  <w14:docId w14:val="45AC07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062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00062B"/>
    <w:pPr>
      <w:keepNext/>
      <w:jc w:val="center"/>
      <w:outlineLvl w:val="0"/>
    </w:pPr>
    <w:rPr>
      <w:b/>
      <w:bCs/>
      <w:sz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A245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00062B"/>
    <w:rPr>
      <w:rFonts w:ascii="Tahoma" w:hAnsi="Tahoma" w:cs="Tahoma"/>
      <w:sz w:val="16"/>
      <w:szCs w:val="16"/>
    </w:rPr>
  </w:style>
  <w:style w:type="character" w:customStyle="1" w:styleId="olttablecontentcfg">
    <w:name w:val="olt_table_content_cfg"/>
    <w:basedOn w:val="Domylnaczcionkaakapitu"/>
    <w:rsid w:val="0000062B"/>
  </w:style>
  <w:style w:type="paragraph" w:styleId="Tekstprzypisukocowego">
    <w:name w:val="endnote text"/>
    <w:basedOn w:val="Normalny"/>
    <w:semiHidden/>
    <w:rsid w:val="0000062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rsid w:val="0000062B"/>
  </w:style>
  <w:style w:type="character" w:styleId="Odwoanieprzypisukocowego">
    <w:name w:val="endnote reference"/>
    <w:semiHidden/>
    <w:rsid w:val="0000062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050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05027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050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05027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254D7D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A245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0E7F0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07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spec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2388</Words>
  <Characters>17600</Characters>
  <Application>Microsoft Office Word</Application>
  <DocSecurity>0</DocSecurity>
  <Lines>146</Lines>
  <Paragraphs>39</Paragraphs>
  <ScaleCrop>false</ScaleCrop>
  <Company/>
  <LinksUpToDate>false</LinksUpToDate>
  <CharactersWithSpaces>19949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2024-10-22T09:09:00Z</dcterms:created>
  <dcterms:modified xsi:type="dcterms:W3CDTF">2024-11-04T13:13:00Z</dcterms:modified>
</cp:coreProperties>
</file>