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6929E" w14:textId="77777777" w:rsidR="002778B5" w:rsidRPr="00AD4424" w:rsidRDefault="002778B5" w:rsidP="002778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4424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14:paraId="0C4E212C" w14:textId="450E9EF5" w:rsidR="002778B5" w:rsidRPr="00AD4424" w:rsidRDefault="002778B5" w:rsidP="002778B5">
      <w:pPr>
        <w:jc w:val="center"/>
        <w:rPr>
          <w:rFonts w:ascii="Times New Roman" w:hAnsi="Times New Roman" w:cs="Times New Roman"/>
          <w:sz w:val="24"/>
          <w:szCs w:val="24"/>
        </w:rPr>
      </w:pPr>
      <w:r w:rsidRPr="00AD4424">
        <w:rPr>
          <w:rFonts w:ascii="Times New Roman" w:hAnsi="Times New Roman" w:cs="Times New Roman"/>
          <w:sz w:val="24"/>
          <w:szCs w:val="24"/>
        </w:rPr>
        <w:t>IZRK.271.</w:t>
      </w:r>
      <w:r w:rsidR="00291273">
        <w:rPr>
          <w:rFonts w:ascii="Times New Roman" w:hAnsi="Times New Roman" w:cs="Times New Roman"/>
          <w:sz w:val="24"/>
          <w:szCs w:val="24"/>
        </w:rPr>
        <w:t>12</w:t>
      </w:r>
      <w:r w:rsidRPr="00AD4424">
        <w:rPr>
          <w:rFonts w:ascii="Times New Roman" w:hAnsi="Times New Roman" w:cs="Times New Roman"/>
          <w:sz w:val="24"/>
          <w:szCs w:val="24"/>
        </w:rPr>
        <w:t>.202</w:t>
      </w:r>
      <w:r w:rsidR="00AA4A37">
        <w:rPr>
          <w:rFonts w:ascii="Times New Roman" w:hAnsi="Times New Roman" w:cs="Times New Roman"/>
          <w:sz w:val="24"/>
          <w:szCs w:val="24"/>
        </w:rPr>
        <w:t>3</w:t>
      </w:r>
    </w:p>
    <w:p w14:paraId="58DE8BF9" w14:textId="77777777" w:rsidR="00EE1099" w:rsidRDefault="00EE1099" w:rsidP="00EE1099">
      <w:pPr>
        <w:spacing w:line="360" w:lineRule="auto"/>
        <w:jc w:val="both"/>
        <w:rPr>
          <w:rFonts w:ascii="Arial" w:hAnsi="Arial" w:cs="Arial"/>
          <w:b/>
          <w:bCs/>
        </w:rPr>
      </w:pPr>
      <w:bookmarkStart w:id="0" w:name="_Hlk140491790"/>
    </w:p>
    <w:p w14:paraId="6CACB642" w14:textId="77777777" w:rsidR="00EE1099" w:rsidRDefault="00EE1099" w:rsidP="00EE1099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OPIS PRZEDMIOTU ZAMÓWIENIA</w:t>
      </w:r>
    </w:p>
    <w:p w14:paraId="38D8FAE9" w14:textId="671F822F" w:rsidR="00EE1099" w:rsidRDefault="00EE1099" w:rsidP="00EE109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Nazwa zadania: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„Wymiana oświetlenia w </w:t>
      </w:r>
      <w:r w:rsidR="00291273">
        <w:rPr>
          <w:rFonts w:ascii="Arial" w:hAnsi="Arial" w:cs="Arial"/>
          <w:b/>
          <w:bCs/>
          <w:sz w:val="24"/>
          <w:szCs w:val="24"/>
          <w:u w:val="single"/>
        </w:rPr>
        <w:t>G</w:t>
      </w:r>
      <w:r>
        <w:rPr>
          <w:rFonts w:ascii="Arial" w:hAnsi="Arial" w:cs="Arial"/>
          <w:b/>
          <w:bCs/>
          <w:sz w:val="24"/>
          <w:szCs w:val="24"/>
          <w:u w:val="single"/>
        </w:rPr>
        <w:t>minie Wiskitki”</w:t>
      </w:r>
      <w:r>
        <w:rPr>
          <w:rFonts w:ascii="Arial" w:hAnsi="Arial" w:cs="Arial"/>
          <w:sz w:val="24"/>
          <w:szCs w:val="24"/>
        </w:rPr>
        <w:t xml:space="preserve"> w ramach dofinansowania ze środków sektorowego programu wsparcia pn. „Bezpieczne drogi” przez Centralny Port Komunikacyjny Sp. z o.o.</w:t>
      </w:r>
    </w:p>
    <w:p w14:paraId="3BDE278E" w14:textId="6C0C7045" w:rsidR="00291273" w:rsidRDefault="00291273" w:rsidP="00EE109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9593F0" wp14:editId="10BE3538">
            <wp:extent cx="5743575" cy="2428875"/>
            <wp:effectExtent l="0" t="0" r="0" b="0"/>
            <wp:docPr id="19399452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9BD95" w14:textId="5297F90A" w:rsidR="00291273" w:rsidRDefault="00291273" w:rsidP="00EE109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91273">
        <w:rPr>
          <w:rFonts w:ascii="Arial" w:hAnsi="Arial" w:cs="Arial"/>
          <w:sz w:val="24"/>
          <w:szCs w:val="24"/>
        </w:rPr>
        <w:t xml:space="preserve">Zadanie </w:t>
      </w:r>
      <w:r>
        <w:rPr>
          <w:rFonts w:ascii="Arial" w:hAnsi="Arial" w:cs="Arial"/>
          <w:sz w:val="24"/>
          <w:szCs w:val="24"/>
        </w:rPr>
        <w:t xml:space="preserve">„Wymiana oświetlenia w Gminie Wiskitki” </w:t>
      </w:r>
      <w:r w:rsidRPr="00291273">
        <w:rPr>
          <w:rFonts w:ascii="Arial" w:hAnsi="Arial" w:cs="Arial"/>
          <w:sz w:val="24"/>
          <w:szCs w:val="24"/>
        </w:rPr>
        <w:t>realizowane będzie ze środków własnych Gminy Wiskitki oraz programu wsparcia „Bezpieczne Drogi” realizowanego przez Centralny Port Komunikacyjny Sp. z o. o., umowa nr 15/PBD/2023</w:t>
      </w:r>
      <w:r>
        <w:rPr>
          <w:rFonts w:ascii="Arial" w:hAnsi="Arial" w:cs="Arial"/>
          <w:sz w:val="24"/>
          <w:szCs w:val="24"/>
        </w:rPr>
        <w:t>.</w:t>
      </w:r>
    </w:p>
    <w:p w14:paraId="771E9D13" w14:textId="65D451D8" w:rsidR="00EE1099" w:rsidRDefault="00EE1099" w:rsidP="00EE1099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A717756" wp14:editId="065429CD">
            <wp:simplePos x="0" y="0"/>
            <wp:positionH relativeFrom="margin">
              <wp:posOffset>125095</wp:posOffset>
            </wp:positionH>
            <wp:positionV relativeFrom="paragraph">
              <wp:posOffset>236855</wp:posOffset>
            </wp:positionV>
            <wp:extent cx="5760720" cy="6849110"/>
            <wp:effectExtent l="0" t="0" r="0" b="8890"/>
            <wp:wrapSquare wrapText="bothSides"/>
            <wp:docPr id="142904493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" t="12646" r="7263" b="1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4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CD956" w14:textId="77777777" w:rsidR="00EE1099" w:rsidRDefault="00EE1099" w:rsidP="00EE1099">
      <w:pPr>
        <w:spacing w:line="360" w:lineRule="auto"/>
        <w:jc w:val="both"/>
        <w:rPr>
          <w:rFonts w:ascii="Arial" w:hAnsi="Arial" w:cs="Arial"/>
        </w:rPr>
      </w:pPr>
    </w:p>
    <w:p w14:paraId="0CAAA6C4" w14:textId="77777777" w:rsidR="00EE1099" w:rsidRDefault="00EE1099" w:rsidP="00EE109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Przedmiotem zamówienia jest wymiana dotychczasowego oświetlenia ulicznego na nowoczesne</w:t>
      </w:r>
      <w:r>
        <w:rPr>
          <w:rFonts w:ascii="Arial" w:hAnsi="Arial" w:cs="Arial"/>
          <w:b/>
          <w:bCs/>
          <w:color w:val="FF0000"/>
          <w:spacing w:val="-17"/>
        </w:rPr>
        <w:t xml:space="preserve"> </w:t>
      </w:r>
      <w:r>
        <w:rPr>
          <w:rFonts w:ascii="Arial" w:hAnsi="Arial" w:cs="Arial"/>
          <w:b/>
          <w:bCs/>
          <w:color w:val="FF0000"/>
        </w:rPr>
        <w:t>oprawy uliczne w technologii LED bez wymiany wysięgników.</w:t>
      </w:r>
    </w:p>
    <w:p w14:paraId="09CC5DAF" w14:textId="77777777" w:rsidR="00EE1099" w:rsidRDefault="00EE1099" w:rsidP="00EE109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Szczegółowy opis przedmiotu zamówienia, w tym zakres robót, technologia wykonania zawarte są w niniejszym opisie oraz dokumentacji projektowej wymiany opraw stanowiącej załącznik do SWZ.</w:t>
      </w:r>
    </w:p>
    <w:p w14:paraId="0032CA0F" w14:textId="77777777" w:rsidR="00EE1099" w:rsidRDefault="00EE1099" w:rsidP="00EE1099">
      <w:pPr>
        <w:spacing w:line="360" w:lineRule="auto"/>
        <w:ind w:firstLine="708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lastRenderedPageBreak/>
        <w:t xml:space="preserve">Z uwagi na formę wynagrodzenia ryczałtowego przedmiar robót załączony do SWZ nie jest dokumentem podstawowym do wyceny oferty. </w:t>
      </w:r>
      <w:r>
        <w:rPr>
          <w:rFonts w:ascii="Arial" w:hAnsi="Arial" w:cs="Arial"/>
          <w:b/>
          <w:bCs/>
          <w:color w:val="FF0000"/>
          <w:u w:val="single"/>
        </w:rPr>
        <w:t>Przedmiar robót należy traktować jako dokument pomocniczy.</w:t>
      </w:r>
      <w:r>
        <w:rPr>
          <w:rFonts w:ascii="Arial" w:hAnsi="Arial" w:cs="Arial"/>
          <w:b/>
          <w:bCs/>
          <w:color w:val="FF0000"/>
        </w:rPr>
        <w:t xml:space="preserve"> Zawarte w przedmiarze robót zestawienia mają zobrazować skalę robót budowlanych i pomóc wykonawcy w oszacowaniu kosztów inwestycji.</w:t>
      </w:r>
    </w:p>
    <w:p w14:paraId="377E5FDE" w14:textId="77777777" w:rsidR="00EE1099" w:rsidRDefault="00EE1099" w:rsidP="00EE1099">
      <w:pPr>
        <w:spacing w:line="360" w:lineRule="auto"/>
        <w:jc w:val="both"/>
        <w:rPr>
          <w:rFonts w:ascii="Arial" w:hAnsi="Arial" w:cs="Arial"/>
          <w:b/>
          <w:bCs/>
          <w:color w:val="FF0000"/>
          <w:u w:val="single"/>
        </w:rPr>
      </w:pPr>
      <w:r>
        <w:rPr>
          <w:rFonts w:ascii="Arial" w:hAnsi="Arial" w:cs="Arial"/>
          <w:b/>
          <w:bCs/>
          <w:color w:val="FF0000"/>
          <w:u w:val="single"/>
        </w:rPr>
        <w:t xml:space="preserve">Przedmiar robót jest dokumentem pomocniczym i nie zwalnia Wykonawcy z dokonania wizji lokalnej. </w:t>
      </w:r>
    </w:p>
    <w:p w14:paraId="063086E5" w14:textId="77777777" w:rsidR="00EE1099" w:rsidRDefault="00EE1099" w:rsidP="00EE1099">
      <w:pPr>
        <w:spacing w:line="360" w:lineRule="auto"/>
        <w:jc w:val="both"/>
        <w:rPr>
          <w:rFonts w:ascii="Arial" w:hAnsi="Arial" w:cs="Arial"/>
        </w:rPr>
      </w:pPr>
    </w:p>
    <w:p w14:paraId="0EB3A662" w14:textId="77777777" w:rsidR="00EE1099" w:rsidRDefault="00EE1099" w:rsidP="00EE1099">
      <w:pPr>
        <w:spacing w:line="360" w:lineRule="auto"/>
        <w:jc w:val="both"/>
        <w:rPr>
          <w:rFonts w:ascii="Arial" w:hAnsi="Arial" w:cs="Arial"/>
        </w:rPr>
      </w:pPr>
    </w:p>
    <w:p w14:paraId="1D02B101" w14:textId="77777777" w:rsidR="00EE1099" w:rsidRDefault="00EE1099" w:rsidP="00EE1099">
      <w:pPr>
        <w:pStyle w:val="Nagwek10"/>
        <w:keepNext/>
        <w:keepLines/>
        <w:numPr>
          <w:ilvl w:val="1"/>
          <w:numId w:val="8"/>
        </w:numPr>
        <w:shd w:val="clear" w:color="auto" w:fill="auto"/>
        <w:tabs>
          <w:tab w:val="left" w:pos="709"/>
        </w:tabs>
        <w:spacing w:after="300" w:line="360" w:lineRule="auto"/>
        <w:ind w:left="709" w:hanging="425"/>
        <w:jc w:val="both"/>
        <w:rPr>
          <w:sz w:val="24"/>
          <w:szCs w:val="24"/>
        </w:rPr>
      </w:pPr>
      <w:bookmarkStart w:id="1" w:name="bookmark3"/>
      <w:bookmarkStart w:id="2" w:name="bookmark2"/>
      <w:r>
        <w:rPr>
          <w:sz w:val="24"/>
          <w:szCs w:val="24"/>
        </w:rPr>
        <w:t>Zakres robót</w:t>
      </w:r>
      <w:bookmarkEnd w:id="1"/>
      <w:bookmarkEnd w:id="2"/>
      <w:r>
        <w:rPr>
          <w:sz w:val="24"/>
          <w:szCs w:val="24"/>
        </w:rPr>
        <w:t>:</w:t>
      </w:r>
    </w:p>
    <w:p w14:paraId="0B4D3E12" w14:textId="77777777" w:rsidR="00EE1099" w:rsidRDefault="00EE1099" w:rsidP="00EE1099">
      <w:pPr>
        <w:pStyle w:val="Akapitzlist"/>
        <w:widowControl w:val="0"/>
        <w:tabs>
          <w:tab w:val="left" w:pos="1191"/>
        </w:tabs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polega na wymianie dotychczasowego oświetlenia ulicznego na nowoczesne</w:t>
      </w:r>
      <w:r>
        <w:rPr>
          <w:rFonts w:ascii="Arial" w:hAnsi="Arial" w:cs="Arial"/>
          <w:spacing w:val="-1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oprawy uliczne w technologii LED bez wymiany wysięgników. Lokalizacja punktów oświetleniowych do wymiany </w:t>
      </w:r>
      <w:r>
        <w:rPr>
          <w:rFonts w:ascii="Arial" w:hAnsi="Arial" w:cs="Arial"/>
          <w:b/>
          <w:bCs/>
          <w:sz w:val="24"/>
          <w:szCs w:val="24"/>
          <w:u w:val="single"/>
        </w:rPr>
        <w:t>na załączonej mapie</w:t>
      </w:r>
      <w:r>
        <w:rPr>
          <w:rFonts w:ascii="Arial" w:hAnsi="Arial" w:cs="Arial"/>
          <w:sz w:val="24"/>
          <w:szCs w:val="24"/>
        </w:rPr>
        <w:t xml:space="preserve">, która ma charakter pomocniczy.  </w:t>
      </w:r>
    </w:p>
    <w:p w14:paraId="2D52EFB0" w14:textId="77777777" w:rsidR="00EE1099" w:rsidRDefault="00EE1099" w:rsidP="00EE1099">
      <w:pPr>
        <w:pStyle w:val="Akapitzlist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Łącznie wymianie podlega 1077 szt. opraw m.in. w obrębach: Czerwona Niwa, Czerwona Niwa Parcel, Różanów, Babskie Budy, Wola Miedniewska, Starowiskitki, Morgi, Hipolitów, Popielarnia, Smolarnia, Kamionka, Nowa Wieś, Kozłowice Stare, Działki, Tomaszew, Łubno, Prościeniec, Antoniew, Franciszków, Józefów, Jesionka, Guzów.</w:t>
      </w:r>
    </w:p>
    <w:p w14:paraId="61C200C9" w14:textId="77777777" w:rsidR="00EE1099" w:rsidRDefault="00EE1099" w:rsidP="00EE1099">
      <w:pPr>
        <w:pStyle w:val="Akapitzlist"/>
        <w:widowControl w:val="0"/>
        <w:tabs>
          <w:tab w:val="left" w:pos="1191"/>
        </w:tabs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Wszystkie oferowane urządzenia muszą posiadać odpowiednie dopuszczenia do legalnego obrotu na terenie Unii Europejskiej.</w:t>
      </w:r>
    </w:p>
    <w:p w14:paraId="6AA514A8" w14:textId="77777777" w:rsidR="00EE1099" w:rsidRDefault="00EE1099" w:rsidP="00EE1099">
      <w:pPr>
        <w:pStyle w:val="Akapitzlist"/>
        <w:widowControl w:val="0"/>
        <w:tabs>
          <w:tab w:val="left" w:pos="1191"/>
        </w:tabs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zakresu zadania należy w szczególności:</w:t>
      </w:r>
    </w:p>
    <w:p w14:paraId="5A16519D" w14:textId="77777777" w:rsidR="00EE1099" w:rsidRDefault="00EE1099" w:rsidP="00EE1099">
      <w:pPr>
        <w:pStyle w:val="Akapitzlist"/>
        <w:widowControl w:val="0"/>
        <w:numPr>
          <w:ilvl w:val="0"/>
          <w:numId w:val="9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Demontaż opraw sodowych i rtęciowych – 1077 szt., będących majątkiem Gminy Wiskitki.</w:t>
      </w:r>
    </w:p>
    <w:p w14:paraId="2545D30C" w14:textId="5BDB12E9" w:rsidR="00EE1099" w:rsidRDefault="00EE1099" w:rsidP="00EE1099">
      <w:pPr>
        <w:pStyle w:val="Akapitzlist"/>
        <w:widowControl w:val="0"/>
        <w:numPr>
          <w:ilvl w:val="0"/>
          <w:numId w:val="9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Montaż opraw oświetlenia zewnętrznego na trzpieniu słupa lub istniejącym wysięgniku – 1077 szt. </w:t>
      </w:r>
      <w:r>
        <w:rPr>
          <w:rFonts w:ascii="Arial" w:hAnsi="Arial" w:cs="Arial"/>
          <w:b/>
          <w:bCs/>
          <w:sz w:val="24"/>
          <w:szCs w:val="24"/>
          <w:u w:val="single"/>
        </w:rPr>
        <w:t>bez wymiany</w:t>
      </w:r>
      <w:r>
        <w:rPr>
          <w:rFonts w:ascii="Arial" w:hAnsi="Arial" w:cs="Arial"/>
          <w:sz w:val="24"/>
          <w:szCs w:val="24"/>
        </w:rPr>
        <w:t xml:space="preserve"> wysięgników.</w:t>
      </w:r>
      <w:r w:rsidR="00D82694">
        <w:rPr>
          <w:rFonts w:ascii="Arial" w:hAnsi="Arial" w:cs="Arial"/>
          <w:sz w:val="24"/>
          <w:szCs w:val="24"/>
        </w:rPr>
        <w:t xml:space="preserve"> W przypadku konieczności wymiany wysięgników, co zostanie stwierdzone w czasie realizacji robót – Wykonawca każdorazowo zgłosi taką okoliczność Zamawiającemu.</w:t>
      </w:r>
    </w:p>
    <w:p w14:paraId="02BE3321" w14:textId="77777777" w:rsidR="00EE1099" w:rsidRDefault="00EE1099" w:rsidP="00EE1099">
      <w:pPr>
        <w:pStyle w:val="Akapitzlist"/>
        <w:widowControl w:val="0"/>
        <w:numPr>
          <w:ilvl w:val="0"/>
          <w:numId w:val="9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Montaż przewodów do opraw oświetleniowych – wciąganie w słupy, rury osłonowe i wysięgniki przy wysokości latarń do 10 m.</w:t>
      </w:r>
    </w:p>
    <w:p w14:paraId="55BC1C34" w14:textId="77777777" w:rsidR="00EE1099" w:rsidRDefault="00EE1099" w:rsidP="00EE1099">
      <w:pPr>
        <w:pStyle w:val="Akapitzlist"/>
        <w:widowControl w:val="0"/>
        <w:numPr>
          <w:ilvl w:val="0"/>
          <w:numId w:val="9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Pomiar rezystancji izolacji instalacji elektrycznej – obwód 1-fazowy. </w:t>
      </w:r>
    </w:p>
    <w:p w14:paraId="2C92DEF8" w14:textId="77777777" w:rsidR="00EE1099" w:rsidRDefault="00EE1099" w:rsidP="00EE1099">
      <w:pPr>
        <w:pStyle w:val="Akapitzlist"/>
        <w:widowControl w:val="0"/>
        <w:numPr>
          <w:ilvl w:val="0"/>
          <w:numId w:val="9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Modernizacja oraz dostosowanie do współpracy z systemem sterowania szaf oświetleniowych poprzez zapewnienie ciągłego zasilania obwodów </w:t>
      </w:r>
      <w:r>
        <w:rPr>
          <w:rFonts w:ascii="Arial" w:hAnsi="Arial" w:cs="Arial"/>
          <w:sz w:val="24"/>
          <w:szCs w:val="24"/>
        </w:rPr>
        <w:lastRenderedPageBreak/>
        <w:t>oświetleniowych 24h/dobę przez 7dni w tygodniu.</w:t>
      </w:r>
    </w:p>
    <w:p w14:paraId="1980A60A" w14:textId="77777777" w:rsidR="00EE1099" w:rsidRDefault="00EE1099" w:rsidP="00EE1099">
      <w:pPr>
        <w:pStyle w:val="Akapitzlist"/>
        <w:widowControl w:val="0"/>
        <w:numPr>
          <w:ilvl w:val="0"/>
          <w:numId w:val="9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Wykonanie prac zgodnie z opisem i wymaganiami stawianymi urządzeniom oświetlenia ulicznego – Wzór Umowy oraz właściwymi normami i rozporządzeniami.</w:t>
      </w:r>
    </w:p>
    <w:p w14:paraId="776E8E38" w14:textId="77777777" w:rsidR="00EE1099" w:rsidRDefault="00EE1099" w:rsidP="00EE1099">
      <w:pPr>
        <w:pStyle w:val="Akapitzlist"/>
        <w:widowControl w:val="0"/>
        <w:numPr>
          <w:ilvl w:val="0"/>
          <w:numId w:val="9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Wszelkie prace na sieci niskiego napięcia należy koordynować z </w:t>
      </w:r>
      <w:bookmarkStart w:id="3" w:name="_Hlk101957491"/>
      <w:r>
        <w:rPr>
          <w:rFonts w:ascii="Arial" w:hAnsi="Arial" w:cs="Arial"/>
          <w:sz w:val="24"/>
          <w:szCs w:val="24"/>
        </w:rPr>
        <w:t>PGE Dystrybucja S.A. Oddział Łódź Rejon Energetyczny Żyrardów.</w:t>
      </w:r>
    </w:p>
    <w:bookmarkEnd w:id="3"/>
    <w:p w14:paraId="6752EA36" w14:textId="77777777" w:rsidR="00EE1099" w:rsidRPr="00EE1099" w:rsidRDefault="00EE1099" w:rsidP="00EE1099">
      <w:pPr>
        <w:pStyle w:val="Akapitzlist2"/>
        <w:numPr>
          <w:ilvl w:val="0"/>
          <w:numId w:val="9"/>
        </w:numPr>
        <w:tabs>
          <w:tab w:val="left" w:pos="1191"/>
        </w:tabs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Zdemontowane, podlegające wymianie urządzenia podlegać będą zakwalifikowaniu do utylizacji. Urządzenia przeznaczone do utylizacji Wykonawca zutylizuje na własny koszt</w:t>
      </w:r>
      <w:r w:rsidRPr="00EE1099">
        <w:rPr>
          <w:rFonts w:ascii="Arial" w:hAnsi="Arial" w:cs="Arial"/>
          <w:sz w:val="24"/>
          <w:szCs w:val="24"/>
          <w:lang w:val="pl-PL"/>
        </w:rPr>
        <w:t xml:space="preserve">. Dokumenty z utylizacji należy dostarczyć do siedziby Zamawiającego. </w:t>
      </w:r>
    </w:p>
    <w:p w14:paraId="72EFFACC" w14:textId="77777777" w:rsidR="00EE1099" w:rsidRDefault="00EE1099" w:rsidP="00EE1099">
      <w:pPr>
        <w:pStyle w:val="Akapitzlist2"/>
        <w:numPr>
          <w:ilvl w:val="0"/>
          <w:numId w:val="9"/>
        </w:numPr>
        <w:tabs>
          <w:tab w:val="left" w:pos="1191"/>
        </w:tabs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pacing w:val="-9"/>
          <w:sz w:val="24"/>
          <w:szCs w:val="24"/>
          <w:lang w:val="pl-PL"/>
        </w:rPr>
        <w:t xml:space="preserve">Dostawa, montaż, dopasowanie i uruchomienie systemu </w:t>
      </w:r>
      <w:r>
        <w:rPr>
          <w:rFonts w:ascii="Arial" w:hAnsi="Arial" w:cs="Arial"/>
          <w:spacing w:val="-8"/>
          <w:sz w:val="24"/>
          <w:szCs w:val="24"/>
          <w:lang w:val="pl-PL"/>
        </w:rPr>
        <w:t>oświetlenia ulicznego – 1077 szt.</w:t>
      </w:r>
    </w:p>
    <w:p w14:paraId="7B755480" w14:textId="77777777" w:rsidR="00EE1099" w:rsidRDefault="00EE1099" w:rsidP="00EE1099">
      <w:pPr>
        <w:pStyle w:val="Akapitzlist2"/>
        <w:numPr>
          <w:ilvl w:val="0"/>
          <w:numId w:val="9"/>
        </w:numPr>
        <w:tabs>
          <w:tab w:val="left" w:pos="1191"/>
        </w:tabs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pacing w:val="-9"/>
          <w:sz w:val="24"/>
          <w:szCs w:val="24"/>
          <w:lang w:val="pl-PL"/>
        </w:rPr>
        <w:t>Po wykonaniu wymiany należy zgłosić do Urzędu Miasta i Gminy Wiskitki gotowość do odbioru robót.</w:t>
      </w:r>
    </w:p>
    <w:p w14:paraId="5F379E05" w14:textId="77777777" w:rsidR="00EE1099" w:rsidRDefault="00EE1099" w:rsidP="00EE1099">
      <w:pPr>
        <w:pStyle w:val="Akapitzlist2"/>
        <w:numPr>
          <w:ilvl w:val="0"/>
          <w:numId w:val="9"/>
        </w:numPr>
        <w:tabs>
          <w:tab w:val="left" w:pos="1191"/>
        </w:tabs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Wykonanie badań, pomiarów fotometrycznych dla 5 lokalizacji wskazanych przez Zamawiającego. W przypadku, gdy badania wykażą odstępstwa od wymogów, klasy oświetlenia określonej dla danej lokalizacji – Wykonawca dokona na własny koszt stosowną naprawę, natomiast Zamawiający ma prawo zażądać od Wykonawcy następnych badań i pomiarów fotometrycznych dla kolejnych 5 lokalizacji wskazanych przez Zamawiającego.</w:t>
      </w:r>
    </w:p>
    <w:p w14:paraId="73B618D4" w14:textId="77777777" w:rsidR="00EE1099" w:rsidRDefault="00EE1099" w:rsidP="00EE1099">
      <w:pPr>
        <w:pStyle w:val="Akapitzlist"/>
        <w:widowControl w:val="0"/>
        <w:numPr>
          <w:ilvl w:val="0"/>
          <w:numId w:val="9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Wszelkie prace wykonywane bezpośrednio na sieci lub urządzeniach elektrycznych, realizowane będą prze osoby posiadające odpowiednie uprawnienia zgodnie z Rozporządzeniem Ministra Gospodarki, Pracy i Polityki Społecznej, z dnia 28 kwietnia 2003 r. w sprawie szczegółowych zasad stwierdzania kwalifikacji przez osoby zajmujące się eksploatacji </w:t>
      </w:r>
      <w:bookmarkStart w:id="4" w:name="_Hlk102726856"/>
      <w:r>
        <w:rPr>
          <w:rFonts w:ascii="Arial" w:hAnsi="Arial" w:cs="Arial"/>
          <w:sz w:val="24"/>
          <w:szCs w:val="24"/>
        </w:rPr>
        <w:t>urządzeń instalacji i sieci.</w:t>
      </w:r>
    </w:p>
    <w:bookmarkEnd w:id="4"/>
    <w:p w14:paraId="2BE37640" w14:textId="77777777" w:rsidR="00EE1099" w:rsidRDefault="00EE1099" w:rsidP="00EE1099">
      <w:pPr>
        <w:pStyle w:val="Akapitzlist"/>
        <w:widowControl w:val="0"/>
        <w:numPr>
          <w:ilvl w:val="0"/>
          <w:numId w:val="9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wyłącznie zasilania i dopuszczenia do bezpiecznego wykonywania prac, Wykonawca zobowiązany będzie podpisać umowę/zlecenia z PGE Dystrybucja S.A. Oddział Łódź Rejon Energetyczny Żyrardów oraz poniesie wszelkie koszty z tym związane.</w:t>
      </w:r>
    </w:p>
    <w:p w14:paraId="503C4B31" w14:textId="77777777" w:rsidR="00EE1099" w:rsidRDefault="00EE1099" w:rsidP="00EE1099">
      <w:pPr>
        <w:pStyle w:val="Akapitzlist"/>
        <w:widowControl w:val="0"/>
        <w:numPr>
          <w:ilvl w:val="0"/>
          <w:numId w:val="9"/>
        </w:numPr>
        <w:tabs>
          <w:tab w:val="left" w:pos="119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Inne prace i roboty niezbędne do prawidłowego wykonania przedmiotu </w:t>
      </w:r>
      <w:r>
        <w:rPr>
          <w:rFonts w:ascii="Arial" w:hAnsi="Arial" w:cs="Arial"/>
          <w:spacing w:val="-4"/>
          <w:sz w:val="24"/>
          <w:szCs w:val="24"/>
        </w:rPr>
        <w:t xml:space="preserve">umowy, </w:t>
      </w:r>
      <w:r>
        <w:rPr>
          <w:rFonts w:ascii="Arial" w:hAnsi="Arial" w:cs="Arial"/>
          <w:sz w:val="24"/>
          <w:szCs w:val="24"/>
        </w:rPr>
        <w:t>w tym między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innymi:</w:t>
      </w:r>
    </w:p>
    <w:p w14:paraId="341D7DC1" w14:textId="77777777" w:rsidR="00EE1099" w:rsidRDefault="00EE1099" w:rsidP="00EE1099">
      <w:pPr>
        <w:pStyle w:val="Akapitzlist"/>
        <w:widowControl w:val="0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opracowanie projektu czasowej organizacji ruchu na czas prowadzenia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robót (gdy konieczne),</w:t>
      </w:r>
    </w:p>
    <w:p w14:paraId="6A6E1E9E" w14:textId="77777777" w:rsidR="00EE1099" w:rsidRDefault="00EE1099" w:rsidP="00EE1099">
      <w:pPr>
        <w:pStyle w:val="Akapitzlist"/>
        <w:widowControl w:val="0"/>
        <w:numPr>
          <w:ilvl w:val="0"/>
          <w:numId w:val="10"/>
        </w:numPr>
        <w:spacing w:before="47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oznakowanie, ubezpieczenie oraz zabezpieczenie terenu na czas</w:t>
      </w:r>
      <w:r>
        <w:rPr>
          <w:rFonts w:ascii="Arial" w:hAnsi="Arial" w:cs="Arial"/>
          <w:spacing w:val="-1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robót,</w:t>
      </w:r>
    </w:p>
    <w:p w14:paraId="1D997482" w14:textId="77777777" w:rsidR="00EE1099" w:rsidRDefault="00EE1099" w:rsidP="00EE1099">
      <w:pPr>
        <w:pStyle w:val="Akapitzlist"/>
        <w:widowControl w:val="0"/>
        <w:numPr>
          <w:ilvl w:val="0"/>
          <w:numId w:val="10"/>
        </w:numPr>
        <w:spacing w:before="94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organizację zaplecza</w:t>
      </w:r>
      <w:r>
        <w:rPr>
          <w:rFonts w:ascii="Arial" w:hAnsi="Arial" w:cs="Arial"/>
          <w:spacing w:val="-3"/>
          <w:sz w:val="24"/>
          <w:szCs w:val="24"/>
        </w:rPr>
        <w:t xml:space="preserve"> robót,</w:t>
      </w:r>
    </w:p>
    <w:p w14:paraId="2317624A" w14:textId="77777777" w:rsidR="00EE1099" w:rsidRDefault="00EE1099" w:rsidP="00EE1099">
      <w:pPr>
        <w:pStyle w:val="Akapitzlist"/>
        <w:widowControl w:val="0"/>
        <w:numPr>
          <w:ilvl w:val="0"/>
          <w:numId w:val="10"/>
        </w:numPr>
        <w:spacing w:before="5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organizację dojść i dojazdów do posesji w trakcie prowadzenia</w:t>
      </w:r>
      <w:r>
        <w:rPr>
          <w:rFonts w:ascii="Arial" w:hAnsi="Arial" w:cs="Arial"/>
          <w:spacing w:val="-1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robót,</w:t>
      </w:r>
    </w:p>
    <w:p w14:paraId="53227A29" w14:textId="77777777" w:rsidR="00EE1099" w:rsidRDefault="00EE1099" w:rsidP="00EE1099">
      <w:pPr>
        <w:pStyle w:val="Akapitzlist"/>
        <w:widowControl w:val="0"/>
        <w:numPr>
          <w:ilvl w:val="0"/>
          <w:numId w:val="10"/>
        </w:numPr>
        <w:spacing w:before="50" w:after="0" w:line="360" w:lineRule="auto"/>
        <w:jc w:val="both"/>
        <w:rPr>
          <w:rFonts w:ascii="Arial" w:hAnsi="Arial" w:cs="Arial"/>
          <w:color w:val="4F81BD" w:themeColor="accent1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bieżący wywóz materiałów nieużytecznych z terenu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robót</w:t>
      </w:r>
      <w:r>
        <w:rPr>
          <w:rFonts w:ascii="Arial" w:hAnsi="Arial" w:cs="Arial"/>
          <w:color w:val="000000"/>
          <w:spacing w:val="-3"/>
          <w:sz w:val="24"/>
          <w:szCs w:val="24"/>
        </w:rPr>
        <w:t>,</w:t>
      </w:r>
    </w:p>
    <w:p w14:paraId="6CB56975" w14:textId="77777777" w:rsidR="00EE1099" w:rsidRDefault="00EE1099" w:rsidP="00EE1099">
      <w:pPr>
        <w:pStyle w:val="Akapitzlist"/>
        <w:widowControl w:val="0"/>
        <w:numPr>
          <w:ilvl w:val="0"/>
          <w:numId w:val="10"/>
        </w:numPr>
        <w:spacing w:before="50"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wykonanie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robót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naprawczych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infrastruktury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technicznej,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której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stan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techniczny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skutek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realizacji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robót uległ pogorszeniu, w tym robót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odtworzeniowych.</w:t>
      </w:r>
    </w:p>
    <w:p w14:paraId="069BA34C" w14:textId="77777777" w:rsidR="00EE1099" w:rsidRDefault="00EE1099" w:rsidP="00EE1099">
      <w:pPr>
        <w:widowControl w:val="0"/>
        <w:spacing w:before="5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Zadaniem Wykonawcy jest takie wykonanie zadania, aby ograniczyć skutecznie prądy rozruchowe opraw. Wszelkie awarie wynikające z nadmiernych prądów rozruchowych opraw sprowadzające się do uporczywego zadziałania zabezpieczeń nadprądowych zostaną usunięte przez Wykonawcę w ramach gwarancji.</w:t>
      </w:r>
    </w:p>
    <w:p w14:paraId="1BD43C68" w14:textId="77777777" w:rsidR="00EE1099" w:rsidRDefault="00EE1099" w:rsidP="00EE1099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81E1230" w14:textId="77777777" w:rsidR="00EE1099" w:rsidRDefault="00EE1099" w:rsidP="00EE1099">
      <w:pPr>
        <w:pStyle w:val="Akapitzlist"/>
        <w:keepNext/>
        <w:numPr>
          <w:ilvl w:val="1"/>
          <w:numId w:val="8"/>
        </w:numPr>
        <w:spacing w:after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Wymagania stawiane urządzeniom oświetlenia ulicznego</w:t>
      </w:r>
    </w:p>
    <w:p w14:paraId="74AC7BF3" w14:textId="77777777" w:rsidR="00EE1099" w:rsidRDefault="00EE1099" w:rsidP="00EE1099">
      <w:pPr>
        <w:keepNext/>
        <w:spacing w:after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Oprawy oświetleniowe</w:t>
      </w:r>
    </w:p>
    <w:p w14:paraId="181C022E" w14:textId="77777777" w:rsidR="00EE1099" w:rsidRDefault="00EE1099" w:rsidP="00EE1099">
      <w:pPr>
        <w:keepNext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Zastosowane oprawy muszą być nowe i spełniać wszystkie opisane poniżej wymagania dotyczące parametrów technicznych. Karta techniczna musi zawierać parametry techniczne oferowanych urządzeń. Wykonawca odpowiada za zgodność ze stanem faktycznym podanych danych w karcie technicznej. </w:t>
      </w:r>
    </w:p>
    <w:p w14:paraId="058C5D94" w14:textId="77777777" w:rsidR="00EE1099" w:rsidRDefault="00EE1099" w:rsidP="00EE109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Oprawy oświetleniowe muszą być wykonane jako oprawy oświetlenia zewnętrznego zgodnie z opisami podanymi poniżej.</w:t>
      </w:r>
    </w:p>
    <w:p w14:paraId="74EEB973" w14:textId="77777777" w:rsidR="00EE1099" w:rsidRDefault="00EE1099" w:rsidP="00EE1099">
      <w:pPr>
        <w:spacing w:line="360" w:lineRule="auto"/>
        <w:rPr>
          <w:rFonts w:ascii="Arial" w:hAnsi="Arial" w:cs="Arial"/>
          <w:sz w:val="24"/>
          <w:szCs w:val="24"/>
        </w:rPr>
      </w:pPr>
    </w:p>
    <w:p w14:paraId="054D63F2" w14:textId="77777777" w:rsidR="00EE1099" w:rsidRDefault="00EE1099" w:rsidP="00EE1099">
      <w:pPr>
        <w:spacing w:line="360" w:lineRule="auto"/>
        <w:rPr>
          <w:rFonts w:ascii="Arial" w:hAnsi="Arial" w:cs="Arial"/>
          <w:sz w:val="24"/>
          <w:szCs w:val="24"/>
        </w:rPr>
      </w:pPr>
      <w:bookmarkStart w:id="5" w:name="_Hlk103863279"/>
      <w:r>
        <w:rPr>
          <w:rFonts w:ascii="Arial" w:hAnsi="Arial" w:cs="Arial"/>
          <w:sz w:val="24"/>
          <w:szCs w:val="24"/>
        </w:rPr>
        <w:t xml:space="preserve">Przed dostarczeniem i zamontowaniem urządzeń wykonawca przedstawi Zamawiającemu do zaakceptowania dokumenty potwierdzające spełnienie poniższych parametrów. </w:t>
      </w:r>
    </w:p>
    <w:p w14:paraId="04FFF570" w14:textId="77777777" w:rsidR="00EE1099" w:rsidRDefault="00EE1099" w:rsidP="00EE1099">
      <w:pPr>
        <w:spacing w:line="360" w:lineRule="auto"/>
        <w:rPr>
          <w:rFonts w:ascii="Arial" w:hAnsi="Arial" w:cs="Arial"/>
          <w:sz w:val="24"/>
          <w:szCs w:val="24"/>
        </w:rPr>
      </w:pPr>
    </w:p>
    <w:p w14:paraId="6A7777D7" w14:textId="77777777" w:rsidR="00EE1099" w:rsidRDefault="00EE1099" w:rsidP="00EE1099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Parametry oprawy oświetleniowej:</w:t>
      </w:r>
    </w:p>
    <w:p w14:paraId="043D6F1E" w14:textId="77777777" w:rsidR="00EE1099" w:rsidRDefault="00EE1099" w:rsidP="00EE1099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oprawa z odlewu aluminiowego,</w:t>
      </w:r>
    </w:p>
    <w:p w14:paraId="43DC769D" w14:textId="77777777" w:rsidR="00EE1099" w:rsidRDefault="00EE1099" w:rsidP="00EE1099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klosz ze szkła hartowanego,</w:t>
      </w:r>
    </w:p>
    <w:p w14:paraId="7BBF3F05" w14:textId="77777777" w:rsidR="00EE1099" w:rsidRDefault="00EE1099" w:rsidP="00EE1099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możliwość regulacji i dostosowania mocy,</w:t>
      </w:r>
    </w:p>
    <w:p w14:paraId="72E1A8C9" w14:textId="77777777" w:rsidR="00EE1099" w:rsidRDefault="00EE1099" w:rsidP="00EE1099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szczelność oprawy na poziomie IP66,</w:t>
      </w:r>
    </w:p>
    <w:p w14:paraId="56151E87" w14:textId="77777777" w:rsidR="00EE1099" w:rsidRDefault="00EE1099" w:rsidP="00EE1099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napięcie znamionowe 240 V,</w:t>
      </w:r>
    </w:p>
    <w:p w14:paraId="03411676" w14:textId="77777777" w:rsidR="00EE1099" w:rsidRDefault="00EE1099" w:rsidP="00EE1099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wymienne soczewki,</w:t>
      </w:r>
    </w:p>
    <w:p w14:paraId="7307522E" w14:textId="77777777" w:rsidR="00EE1099" w:rsidRDefault="00EE1099" w:rsidP="00EE1099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regulowany uchwyt w zakresie ±90</w:t>
      </w:r>
      <w:r>
        <w:rPr>
          <w:rFonts w:ascii="Arial" w:hAnsi="Arial" w:cs="Arial"/>
          <w:sz w:val="24"/>
          <w:szCs w:val="24"/>
          <w:vertAlign w:val="superscript"/>
        </w:rPr>
        <w:t>O</w:t>
      </w:r>
      <w:r>
        <w:rPr>
          <w:rFonts w:ascii="Arial" w:hAnsi="Arial" w:cs="Arial"/>
          <w:sz w:val="24"/>
          <w:szCs w:val="24"/>
        </w:rPr>
        <w:t>,</w:t>
      </w:r>
    </w:p>
    <w:p w14:paraId="7AE89A15" w14:textId="77777777" w:rsidR="00EE1099" w:rsidRDefault="00EE1099" w:rsidP="00EE1099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odporność na uderzenia: IK09</w:t>
      </w:r>
    </w:p>
    <w:p w14:paraId="486C13A3" w14:textId="77777777" w:rsidR="00EE1099" w:rsidRDefault="00EE1099" w:rsidP="00EE1099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kolor oprawy – srebrny lub srebrny ciemny,  </w:t>
      </w:r>
    </w:p>
    <w:p w14:paraId="753A1F5D" w14:textId="77777777" w:rsidR="00EE1099" w:rsidRDefault="00EE1099" w:rsidP="00EE1099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ilość diod – min. 32,</w:t>
      </w:r>
    </w:p>
    <w:p w14:paraId="51D23A1B" w14:textId="77777777" w:rsidR="00EE1099" w:rsidRDefault="00EE1099" w:rsidP="00EE1099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moc min 60W,</w:t>
      </w:r>
    </w:p>
    <w:p w14:paraId="090BF973" w14:textId="77777777" w:rsidR="00EE1099" w:rsidRDefault="00EE1099" w:rsidP="00EE1099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skorelowana temperatura barwowa – 4000K,</w:t>
      </w:r>
    </w:p>
    <w:p w14:paraId="2B6D69E0" w14:textId="77777777" w:rsidR="00EE1099" w:rsidRDefault="00EE1099" w:rsidP="00EE1099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współczynnik oddawania barw ≥ 70</w:t>
      </w:r>
    </w:p>
    <w:p w14:paraId="1F837997" w14:textId="77777777" w:rsidR="00EE1099" w:rsidRDefault="00EE1099" w:rsidP="00EE1099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zakres temperatury pracy od -40</w:t>
      </w:r>
      <w:r>
        <w:rPr>
          <w:rFonts w:ascii="Arial" w:hAnsi="Arial" w:cs="Arial"/>
          <w:sz w:val="24"/>
          <w:szCs w:val="24"/>
          <w:vertAlign w:val="superscript"/>
        </w:rPr>
        <w:t>O</w:t>
      </w:r>
      <w:r>
        <w:rPr>
          <w:rFonts w:ascii="Arial" w:hAnsi="Arial" w:cs="Arial"/>
          <w:sz w:val="24"/>
          <w:szCs w:val="24"/>
        </w:rPr>
        <w:t>C do +60</w:t>
      </w:r>
      <w:r>
        <w:rPr>
          <w:rFonts w:ascii="Arial" w:hAnsi="Arial" w:cs="Arial"/>
          <w:sz w:val="24"/>
          <w:szCs w:val="24"/>
          <w:vertAlign w:val="superscript"/>
        </w:rPr>
        <w:t>O</w:t>
      </w:r>
      <w:r>
        <w:rPr>
          <w:rFonts w:ascii="Arial" w:hAnsi="Arial" w:cs="Arial"/>
          <w:sz w:val="24"/>
          <w:szCs w:val="24"/>
        </w:rPr>
        <w:t>C,</w:t>
      </w:r>
    </w:p>
    <w:p w14:paraId="11DC46B6" w14:textId="77777777" w:rsidR="00EE1099" w:rsidRDefault="00EE1099" w:rsidP="00EE1099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czas pracy do 100 000 h,</w:t>
      </w:r>
    </w:p>
    <w:p w14:paraId="4A917814" w14:textId="77777777" w:rsidR="00EE1099" w:rsidRDefault="00EE1099" w:rsidP="00EE1099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Współczynnik mocy cos φ – min. 0,95.</w:t>
      </w:r>
    </w:p>
    <w:p w14:paraId="49B86770" w14:textId="77777777" w:rsidR="00EE1099" w:rsidRDefault="00EE1099" w:rsidP="00EE1099">
      <w:pPr>
        <w:spacing w:line="360" w:lineRule="auto"/>
        <w:rPr>
          <w:rFonts w:ascii="Arial" w:hAnsi="Arial" w:cs="Arial"/>
          <w:sz w:val="24"/>
          <w:szCs w:val="24"/>
        </w:rPr>
      </w:pPr>
    </w:p>
    <w:p w14:paraId="42651B2A" w14:textId="77777777" w:rsidR="00EE1099" w:rsidRDefault="00EE1099" w:rsidP="00EE1099">
      <w:pPr>
        <w:spacing w:line="360" w:lineRule="auto"/>
        <w:rPr>
          <w:rFonts w:ascii="Arial" w:hAnsi="Arial" w:cs="Arial"/>
          <w:sz w:val="24"/>
          <w:szCs w:val="24"/>
        </w:rPr>
      </w:pPr>
    </w:p>
    <w:p w14:paraId="3BCFEE2E" w14:textId="77777777" w:rsidR="00EE1099" w:rsidRDefault="00EE1099" w:rsidP="00EE1099">
      <w:pPr>
        <w:spacing w:line="360" w:lineRule="auto"/>
        <w:rPr>
          <w:rFonts w:ascii="Arial" w:hAnsi="Arial" w:cs="Arial"/>
          <w:sz w:val="24"/>
          <w:szCs w:val="24"/>
        </w:rPr>
      </w:pPr>
    </w:p>
    <w:p w14:paraId="32F11EF9" w14:textId="77777777" w:rsidR="00EE1099" w:rsidRDefault="00EE1099" w:rsidP="00EE1099">
      <w:pPr>
        <w:spacing w:line="360" w:lineRule="auto"/>
        <w:rPr>
          <w:rFonts w:ascii="Arial" w:hAnsi="Arial" w:cs="Arial"/>
          <w:sz w:val="24"/>
          <w:szCs w:val="24"/>
        </w:rPr>
      </w:pPr>
    </w:p>
    <w:p w14:paraId="673DFC23" w14:textId="77777777" w:rsidR="00EE1099" w:rsidRDefault="00EE1099" w:rsidP="00EE1099">
      <w:pPr>
        <w:spacing w:line="360" w:lineRule="auto"/>
        <w:rPr>
          <w:rFonts w:ascii="Arial" w:hAnsi="Arial" w:cs="Arial"/>
          <w:sz w:val="24"/>
          <w:szCs w:val="24"/>
        </w:rPr>
      </w:pPr>
    </w:p>
    <w:p w14:paraId="4FFEC812" w14:textId="36FA1DDE" w:rsidR="00EE1099" w:rsidRDefault="00EE1099" w:rsidP="00EE1099">
      <w:pPr>
        <w:spacing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DFBDE4E" wp14:editId="14A271F2">
            <wp:simplePos x="0" y="0"/>
            <wp:positionH relativeFrom="column">
              <wp:posOffset>76200</wp:posOffset>
            </wp:positionH>
            <wp:positionV relativeFrom="paragraph">
              <wp:posOffset>424180</wp:posOffset>
            </wp:positionV>
            <wp:extent cx="5760720" cy="8140700"/>
            <wp:effectExtent l="0" t="0" r="0" b="0"/>
            <wp:wrapSquare wrapText="bothSides"/>
            <wp:docPr id="660086342" name="Obraz 2" descr="Obraz zawierający tekst, zrzut ekranu, broń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86342" name="Obraz 2" descr="Obraz zawierający tekst, zrzut ekranu, broń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  <w:u w:val="single"/>
        </w:rPr>
        <w:t>Przykładowa karta katalogowa produktu:</w:t>
      </w:r>
    </w:p>
    <w:bookmarkEnd w:id="5"/>
    <w:p w14:paraId="7C4E2FF4" w14:textId="275F439F" w:rsidR="00EE1099" w:rsidRDefault="00EE1099" w:rsidP="00EE1099">
      <w:pPr>
        <w:spacing w:line="360" w:lineRule="auto"/>
        <w:ind w:left="3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28C3BCB" wp14:editId="740CBA98">
            <wp:simplePos x="0" y="0"/>
            <wp:positionH relativeFrom="margin">
              <wp:posOffset>0</wp:posOffset>
            </wp:positionH>
            <wp:positionV relativeFrom="paragraph">
              <wp:posOffset>255270</wp:posOffset>
            </wp:positionV>
            <wp:extent cx="5760720" cy="8140700"/>
            <wp:effectExtent l="0" t="0" r="0" b="0"/>
            <wp:wrapSquare wrapText="bothSides"/>
            <wp:docPr id="5468761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_Toc89807453"/>
      <w:bookmarkEnd w:id="0"/>
      <w:bookmarkEnd w:id="6"/>
    </w:p>
    <w:p w14:paraId="755B58BB" w14:textId="4F6DB06E" w:rsidR="00CB1771" w:rsidRPr="00AD4424" w:rsidRDefault="00CB1771" w:rsidP="00CE29E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B1771" w:rsidRPr="00AD4424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85E10" w14:textId="77777777" w:rsidR="000228BE" w:rsidRDefault="000228BE" w:rsidP="001F4B98">
      <w:pPr>
        <w:spacing w:after="0" w:line="240" w:lineRule="auto"/>
      </w:pPr>
      <w:r>
        <w:separator/>
      </w:r>
    </w:p>
  </w:endnote>
  <w:endnote w:type="continuationSeparator" w:id="0">
    <w:p w14:paraId="132157C2" w14:textId="77777777" w:rsidR="000228BE" w:rsidRDefault="000228BE" w:rsidP="001F4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A0BDF" w14:textId="77777777" w:rsidR="000228BE" w:rsidRDefault="000228BE" w:rsidP="001F4B98">
      <w:pPr>
        <w:spacing w:after="0" w:line="240" w:lineRule="auto"/>
      </w:pPr>
      <w:r>
        <w:separator/>
      </w:r>
    </w:p>
  </w:footnote>
  <w:footnote w:type="continuationSeparator" w:id="0">
    <w:p w14:paraId="743D6A2A" w14:textId="77777777" w:rsidR="000228BE" w:rsidRDefault="000228BE" w:rsidP="001F4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8AC12" w14:textId="2A923FF5" w:rsidR="001F4B98" w:rsidRDefault="001F4B98" w:rsidP="001F4B98">
    <w:pPr>
      <w:pStyle w:val="Nagwek"/>
      <w:jc w:val="right"/>
    </w:pPr>
    <w:r>
      <w:t>Załącznik nr 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15616"/>
    <w:multiLevelType w:val="hybridMultilevel"/>
    <w:tmpl w:val="FE48CD1C"/>
    <w:lvl w:ilvl="0" w:tplc="079E7442">
      <w:start w:val="4"/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C38B6"/>
    <w:multiLevelType w:val="multilevel"/>
    <w:tmpl w:val="D7AC6A9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C56439"/>
    <w:multiLevelType w:val="hybridMultilevel"/>
    <w:tmpl w:val="F79226FE"/>
    <w:lvl w:ilvl="0" w:tplc="079E7442">
      <w:start w:val="4"/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A689F"/>
    <w:multiLevelType w:val="hybridMultilevel"/>
    <w:tmpl w:val="0B3A06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F40C64"/>
    <w:multiLevelType w:val="multilevel"/>
    <w:tmpl w:val="F516FC5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trike w:val="0"/>
        <w:dstrike w:val="0"/>
        <w:u w:val="none"/>
        <w:effect w:val="no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AD37AD0"/>
    <w:multiLevelType w:val="hybridMultilevel"/>
    <w:tmpl w:val="FF786750"/>
    <w:lvl w:ilvl="0" w:tplc="FDB0F5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44443C"/>
    <w:multiLevelType w:val="hybridMultilevel"/>
    <w:tmpl w:val="29B0AAF4"/>
    <w:lvl w:ilvl="0" w:tplc="EBC8FF5C"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51F3247F"/>
    <w:multiLevelType w:val="hybridMultilevel"/>
    <w:tmpl w:val="1F9ACC52"/>
    <w:lvl w:ilvl="0" w:tplc="002AC61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4B235A"/>
    <w:multiLevelType w:val="hybridMultilevel"/>
    <w:tmpl w:val="F6C6C056"/>
    <w:lvl w:ilvl="0" w:tplc="079E7442">
      <w:start w:val="4"/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A3001B"/>
    <w:multiLevelType w:val="hybridMultilevel"/>
    <w:tmpl w:val="7E6C9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085D28"/>
    <w:multiLevelType w:val="multilevel"/>
    <w:tmpl w:val="1C0A0F6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upperRoman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12061077">
    <w:abstractNumId w:val="9"/>
  </w:num>
  <w:num w:numId="2" w16cid:durableId="1952778042">
    <w:abstractNumId w:val="0"/>
  </w:num>
  <w:num w:numId="3" w16cid:durableId="1094866394">
    <w:abstractNumId w:val="8"/>
  </w:num>
  <w:num w:numId="4" w16cid:durableId="1093553022">
    <w:abstractNumId w:val="2"/>
  </w:num>
  <w:num w:numId="5" w16cid:durableId="806818242">
    <w:abstractNumId w:val="5"/>
  </w:num>
  <w:num w:numId="6" w16cid:durableId="114254273">
    <w:abstractNumId w:val="6"/>
  </w:num>
  <w:num w:numId="7" w16cid:durableId="1659574678">
    <w:abstractNumId w:val="7"/>
  </w:num>
  <w:num w:numId="8" w16cid:durableId="7709288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755378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29537843">
    <w:abstractNumId w:val="1"/>
  </w:num>
  <w:num w:numId="11" w16cid:durableId="198981665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5D6"/>
    <w:rsid w:val="000228BE"/>
    <w:rsid w:val="00031410"/>
    <w:rsid w:val="00074512"/>
    <w:rsid w:val="000B375F"/>
    <w:rsid w:val="00121576"/>
    <w:rsid w:val="001534FB"/>
    <w:rsid w:val="00186455"/>
    <w:rsid w:val="00194A72"/>
    <w:rsid w:val="001F4B98"/>
    <w:rsid w:val="00267D03"/>
    <w:rsid w:val="002778B5"/>
    <w:rsid w:val="00291273"/>
    <w:rsid w:val="002918A3"/>
    <w:rsid w:val="002C103C"/>
    <w:rsid w:val="002F15CE"/>
    <w:rsid w:val="00314521"/>
    <w:rsid w:val="0048042F"/>
    <w:rsid w:val="004B3005"/>
    <w:rsid w:val="004D4A21"/>
    <w:rsid w:val="004E7F43"/>
    <w:rsid w:val="005538C2"/>
    <w:rsid w:val="00586526"/>
    <w:rsid w:val="005E4BDA"/>
    <w:rsid w:val="006520F6"/>
    <w:rsid w:val="0066666A"/>
    <w:rsid w:val="00713CF9"/>
    <w:rsid w:val="007C5542"/>
    <w:rsid w:val="007D78FA"/>
    <w:rsid w:val="008435D6"/>
    <w:rsid w:val="008457E7"/>
    <w:rsid w:val="008A047F"/>
    <w:rsid w:val="00932934"/>
    <w:rsid w:val="00942F55"/>
    <w:rsid w:val="00984A9E"/>
    <w:rsid w:val="00A809D6"/>
    <w:rsid w:val="00AA4A37"/>
    <w:rsid w:val="00AD4424"/>
    <w:rsid w:val="00B037AC"/>
    <w:rsid w:val="00B15953"/>
    <w:rsid w:val="00B969A2"/>
    <w:rsid w:val="00C117FE"/>
    <w:rsid w:val="00C6506B"/>
    <w:rsid w:val="00CB1771"/>
    <w:rsid w:val="00CE29E2"/>
    <w:rsid w:val="00D46B96"/>
    <w:rsid w:val="00D82694"/>
    <w:rsid w:val="00DE66D6"/>
    <w:rsid w:val="00DF0283"/>
    <w:rsid w:val="00E50957"/>
    <w:rsid w:val="00E55332"/>
    <w:rsid w:val="00E62CC2"/>
    <w:rsid w:val="00E9342A"/>
    <w:rsid w:val="00EE1099"/>
    <w:rsid w:val="00F02DB5"/>
    <w:rsid w:val="00F45DD1"/>
    <w:rsid w:val="00F5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2CE7D"/>
  <w15:docId w15:val="{ECE58F22-9114-4C6A-BE94-FC89DFE16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778B5"/>
    <w:rPr>
      <w:color w:val="0000FF" w:themeColor="hyperlink"/>
      <w:u w:val="single"/>
    </w:rPr>
  </w:style>
  <w:style w:type="paragraph" w:styleId="Akapitzlist">
    <w:name w:val="List Paragraph"/>
    <w:aliases w:val="BulletC,Numerowanie,Wyliczanie,Obiekt,normalny tekst,List Paragraph1,Akapit z listą31,test ciągły,Bullets,Akapit z listą3,Akapit z listą11,normalny,Podsis rysunku,lp1,List Paragraph2,L1,ISCG Numerowanie"/>
    <w:basedOn w:val="Normalny"/>
    <w:link w:val="AkapitzlistZnak"/>
    <w:uiPriority w:val="34"/>
    <w:qFormat/>
    <w:rsid w:val="00CE29E2"/>
    <w:pPr>
      <w:ind w:left="720"/>
      <w:contextualSpacing/>
    </w:pPr>
  </w:style>
  <w:style w:type="paragraph" w:styleId="Poprawka">
    <w:name w:val="Revision"/>
    <w:hidden/>
    <w:uiPriority w:val="99"/>
    <w:semiHidden/>
    <w:rsid w:val="00314521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1F4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4B98"/>
  </w:style>
  <w:style w:type="paragraph" w:styleId="Stopka">
    <w:name w:val="footer"/>
    <w:basedOn w:val="Normalny"/>
    <w:link w:val="StopkaZnak"/>
    <w:uiPriority w:val="99"/>
    <w:unhideWhenUsed/>
    <w:rsid w:val="001F4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4B98"/>
  </w:style>
  <w:style w:type="paragraph" w:customStyle="1" w:styleId="pkt">
    <w:name w:val="pkt"/>
    <w:basedOn w:val="Normalny"/>
    <w:link w:val="pktZnak"/>
    <w:rsid w:val="004E7F43"/>
    <w:pPr>
      <w:spacing w:before="60" w:after="60" w:line="240" w:lineRule="auto"/>
      <w:ind w:left="851" w:hanging="295"/>
      <w:jc w:val="both"/>
    </w:pPr>
    <w:rPr>
      <w:rFonts w:ascii="Times New Roman" w:eastAsiaTheme="minorEastAsia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locked/>
    <w:rsid w:val="004E7F43"/>
    <w:rPr>
      <w:rFonts w:ascii="Times New Roman" w:eastAsiaTheme="minorEastAsia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BulletC Znak,Numerowanie Znak,Wyliczanie Znak,Obiekt Znak,normalny tekst Znak,List Paragraph1 Znak,Akapit z listą31 Znak,test ciągły Znak,Bullets Znak,Akapit z listą3 Znak,Akapit z listą11 Znak,normalny Znak,Podsis rysunku Znak"/>
    <w:basedOn w:val="Domylnaczcionkaakapitu"/>
    <w:link w:val="Akapitzlist"/>
    <w:uiPriority w:val="34"/>
    <w:qFormat/>
    <w:locked/>
    <w:rsid w:val="00EE1099"/>
  </w:style>
  <w:style w:type="character" w:customStyle="1" w:styleId="Nagwek1">
    <w:name w:val="Nagłówek #1_"/>
    <w:basedOn w:val="Domylnaczcionkaakapitu"/>
    <w:link w:val="Nagwek10"/>
    <w:qFormat/>
    <w:locked/>
    <w:rsid w:val="00EE1099"/>
    <w:rPr>
      <w:rFonts w:ascii="Arial" w:eastAsia="Arial" w:hAnsi="Arial" w:cs="Arial"/>
      <w:szCs w:val="20"/>
      <w:shd w:val="clear" w:color="auto" w:fill="FFFFFF"/>
    </w:rPr>
  </w:style>
  <w:style w:type="paragraph" w:customStyle="1" w:styleId="Nagwek10">
    <w:name w:val="Nagłówek #1"/>
    <w:basedOn w:val="Normalny"/>
    <w:link w:val="Nagwek1"/>
    <w:qFormat/>
    <w:rsid w:val="00EE1099"/>
    <w:pPr>
      <w:widowControl w:val="0"/>
      <w:shd w:val="clear" w:color="auto" w:fill="FFFFFF"/>
      <w:spacing w:after="280" w:line="324" w:lineRule="auto"/>
      <w:outlineLvl w:val="0"/>
    </w:pPr>
    <w:rPr>
      <w:rFonts w:ascii="Arial" w:eastAsia="Arial" w:hAnsi="Arial" w:cs="Arial"/>
      <w:szCs w:val="20"/>
    </w:rPr>
  </w:style>
  <w:style w:type="paragraph" w:customStyle="1" w:styleId="Akapitzlist2">
    <w:name w:val="Akapit z listą2"/>
    <w:basedOn w:val="Normalny"/>
    <w:qFormat/>
    <w:rsid w:val="00EE1099"/>
    <w:pPr>
      <w:widowControl w:val="0"/>
      <w:suppressAutoHyphens/>
      <w:spacing w:after="0" w:line="240" w:lineRule="auto"/>
      <w:ind w:left="720"/>
    </w:pPr>
    <w:rPr>
      <w:rFonts w:ascii="Calibri" w:eastAsia="Calibri" w:hAnsi="Calibri" w:cs="Times New Roman"/>
      <w:kern w:val="2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4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DF569-783A-4BB5-A00E-4B6675BA1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927</Words>
  <Characters>5568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Gruza</dc:creator>
  <cp:keywords/>
  <dc:description/>
  <cp:lastModifiedBy>Konrad Gruza</cp:lastModifiedBy>
  <cp:revision>12</cp:revision>
  <cp:lastPrinted>2022-07-22T08:16:00Z</cp:lastPrinted>
  <dcterms:created xsi:type="dcterms:W3CDTF">2022-07-21T10:49:00Z</dcterms:created>
  <dcterms:modified xsi:type="dcterms:W3CDTF">2023-08-09T06:55:00Z</dcterms:modified>
</cp:coreProperties>
</file>