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8BAC" w14:textId="77777777" w:rsidR="00EE5914" w:rsidRPr="00EE5914" w:rsidRDefault="00EE5914" w:rsidP="00A35D75">
      <w:pPr>
        <w:spacing w:line="276" w:lineRule="auto"/>
        <w:ind w:right="-1"/>
        <w:rPr>
          <w:rFonts w:eastAsia="Times New Roman"/>
          <w:b/>
          <w:sz w:val="22"/>
          <w:szCs w:val="22"/>
        </w:rPr>
      </w:pPr>
      <w:bookmarkStart w:id="0" w:name="_GoBack"/>
      <w:bookmarkEnd w:id="0"/>
    </w:p>
    <w:p w14:paraId="36D521A6" w14:textId="0ACB1B7B" w:rsidR="00EE5914" w:rsidRPr="00EE5914" w:rsidRDefault="00A35D75" w:rsidP="00EE5914">
      <w:pPr>
        <w:spacing w:line="276" w:lineRule="auto"/>
        <w:ind w:right="-1"/>
        <w:jc w:val="center"/>
        <w:rPr>
          <w:rFonts w:eastAsia="Times New Roman"/>
          <w:b/>
          <w:sz w:val="22"/>
          <w:szCs w:val="22"/>
        </w:rPr>
      </w:pPr>
      <w:r>
        <w:rPr>
          <w:rFonts w:eastAsia="Times New Roman"/>
          <w:b/>
          <w:noProof/>
          <w:sz w:val="22"/>
          <w:szCs w:val="22"/>
        </w:rPr>
        <w:drawing>
          <wp:inline distT="0" distB="0" distL="0" distR="0" wp14:anchorId="6DEEA7E0" wp14:editId="3B717610">
            <wp:extent cx="6120765" cy="829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29310"/>
                    </a:xfrm>
                    <a:prstGeom prst="rect">
                      <a:avLst/>
                    </a:prstGeom>
                    <a:noFill/>
                  </pic:spPr>
                </pic:pic>
              </a:graphicData>
            </a:graphic>
          </wp:inline>
        </w:drawing>
      </w:r>
      <w:r w:rsidR="00EE5914"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37B511AD"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5D7A51">
        <w:rPr>
          <w:rFonts w:asciiTheme="majorHAnsi" w:hAnsiTheme="majorHAnsi" w:cstheme="majorHAnsi"/>
          <w:sz w:val="20"/>
          <w:szCs w:val="20"/>
        </w:rPr>
        <w:t>3</w:t>
      </w:r>
      <w:r w:rsidRPr="00E17F2E">
        <w:rPr>
          <w:rFonts w:asciiTheme="majorHAnsi" w:hAnsiTheme="majorHAnsi" w:cstheme="majorHAnsi"/>
          <w:sz w:val="20"/>
          <w:szCs w:val="20"/>
        </w:rPr>
        <w:t>r. poz. 1</w:t>
      </w:r>
      <w:r w:rsidR="005D7A51">
        <w:rPr>
          <w:rFonts w:asciiTheme="majorHAnsi" w:hAnsiTheme="majorHAnsi" w:cstheme="majorHAnsi"/>
          <w:sz w:val="20"/>
          <w:szCs w:val="20"/>
        </w:rPr>
        <w:t>605</w:t>
      </w:r>
      <w:r w:rsidRPr="00E17F2E">
        <w:rPr>
          <w:rFonts w:asciiTheme="majorHAnsi" w:hAnsiTheme="majorHAnsi" w:cstheme="majorHAnsi"/>
          <w:color w:val="000000"/>
          <w:sz w:val="20"/>
          <w:szCs w:val="20"/>
          <w:lang w:eastAsia="ar-SA"/>
        </w:rPr>
        <w:t xml:space="preserve"> </w:t>
      </w:r>
      <w:r w:rsidRPr="00E17F2E">
        <w:rPr>
          <w:rFonts w:asciiTheme="majorHAnsi" w:hAnsiTheme="majorHAnsi" w:cstheme="majorHAnsi"/>
          <w:sz w:val="20"/>
          <w:szCs w:val="20"/>
        </w:rPr>
        <w:t>ze zm.) zwan</w:t>
      </w:r>
      <w:r w:rsidR="00FB379A">
        <w:rPr>
          <w:rFonts w:asciiTheme="majorHAnsi" w:hAnsiTheme="majorHAnsi" w:cstheme="majorHAnsi"/>
          <w:sz w:val="20"/>
          <w:szCs w:val="20"/>
        </w:rPr>
        <w:t>ą</w:t>
      </w:r>
      <w:r w:rsidRPr="00E17F2E">
        <w:rPr>
          <w:rFonts w:asciiTheme="majorHAnsi" w:hAnsiTheme="majorHAnsi" w:cstheme="majorHAnsi"/>
          <w:sz w:val="20"/>
          <w:szCs w:val="20"/>
        </w:rPr>
        <w:t xml:space="preserve"> dalej "</w:t>
      </w:r>
      <w:r w:rsidR="00C6406B">
        <w:rPr>
          <w:rFonts w:asciiTheme="majorHAnsi" w:hAnsiTheme="majorHAnsi" w:cstheme="majorHAnsi"/>
          <w:sz w:val="20"/>
          <w:szCs w:val="20"/>
        </w:rPr>
        <w:t>U</w:t>
      </w:r>
      <w:r w:rsidRPr="00E17F2E">
        <w:rPr>
          <w:rFonts w:asciiTheme="majorHAnsi" w:hAnsiTheme="majorHAnsi" w:cstheme="majorHAnsi"/>
          <w:sz w:val="20"/>
          <w:szCs w:val="20"/>
        </w:rPr>
        <w:t xml:space="preserve">stawą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5C156621" w:rsidR="00EE5914" w:rsidRPr="00A35D75" w:rsidRDefault="00EE5914" w:rsidP="00EE5914">
      <w:pPr>
        <w:spacing w:line="276" w:lineRule="auto"/>
        <w:jc w:val="center"/>
        <w:rPr>
          <w:rFonts w:asciiTheme="majorHAnsi" w:hAnsiTheme="majorHAnsi" w:cstheme="majorHAnsi"/>
          <w:b/>
          <w:i/>
          <w:sz w:val="28"/>
          <w:szCs w:val="28"/>
          <w:lang w:eastAsia="ar-SA"/>
        </w:rPr>
      </w:pPr>
      <w:bookmarkStart w:id="1" w:name="_Hlk128745056"/>
      <w:r w:rsidRPr="00A35D75">
        <w:rPr>
          <w:rFonts w:asciiTheme="majorHAnsi" w:hAnsiTheme="majorHAnsi" w:cstheme="majorHAnsi"/>
          <w:b/>
          <w:i/>
          <w:sz w:val="28"/>
          <w:szCs w:val="28"/>
          <w:lang w:eastAsia="ar-SA"/>
        </w:rPr>
        <w:t xml:space="preserve">Dostawa </w:t>
      </w:r>
      <w:r w:rsidR="00A35D75" w:rsidRPr="00A35D75">
        <w:rPr>
          <w:rFonts w:asciiTheme="majorHAnsi" w:hAnsiTheme="majorHAnsi" w:cstheme="majorHAnsi"/>
          <w:b/>
          <w:i/>
          <w:sz w:val="28"/>
          <w:szCs w:val="28"/>
          <w:lang w:eastAsia="ar-SA"/>
        </w:rPr>
        <w:t xml:space="preserve">części i </w:t>
      </w:r>
      <w:r w:rsidRPr="00A35D75">
        <w:rPr>
          <w:rFonts w:asciiTheme="majorHAnsi" w:hAnsiTheme="majorHAnsi" w:cstheme="majorHAnsi"/>
          <w:b/>
          <w:i/>
          <w:sz w:val="28"/>
          <w:szCs w:val="28"/>
          <w:lang w:eastAsia="ar-SA"/>
        </w:rPr>
        <w:t>materiałó</w:t>
      </w:r>
      <w:r w:rsidR="00CD547E" w:rsidRPr="00A35D75">
        <w:rPr>
          <w:rFonts w:asciiTheme="majorHAnsi" w:hAnsiTheme="majorHAnsi" w:cstheme="majorHAnsi"/>
          <w:b/>
          <w:i/>
          <w:sz w:val="28"/>
          <w:szCs w:val="28"/>
          <w:lang w:eastAsia="ar-SA"/>
        </w:rPr>
        <w:t xml:space="preserve">w </w:t>
      </w:r>
      <w:r w:rsidR="00A22191" w:rsidRPr="00A35D75">
        <w:rPr>
          <w:rFonts w:asciiTheme="majorHAnsi" w:hAnsiTheme="majorHAnsi" w:cstheme="majorHAnsi"/>
          <w:b/>
          <w:i/>
          <w:sz w:val="28"/>
          <w:szCs w:val="28"/>
          <w:lang w:eastAsia="ar-SA"/>
        </w:rPr>
        <w:t xml:space="preserve">eksploatacyjnych </w:t>
      </w:r>
      <w:r w:rsidR="00CD547E" w:rsidRPr="00A35D75">
        <w:rPr>
          <w:rFonts w:asciiTheme="majorHAnsi" w:hAnsiTheme="majorHAnsi" w:cstheme="majorHAnsi"/>
          <w:b/>
          <w:i/>
          <w:sz w:val="28"/>
          <w:szCs w:val="28"/>
          <w:lang w:eastAsia="ar-SA"/>
        </w:rPr>
        <w:t>do druku 3D</w:t>
      </w:r>
      <w:r w:rsidR="00A35D75" w:rsidRPr="00A35D75">
        <w:rPr>
          <w:rFonts w:asciiTheme="majorHAnsi" w:hAnsiTheme="majorHAnsi" w:cstheme="majorHAnsi"/>
          <w:b/>
          <w:i/>
          <w:sz w:val="28"/>
          <w:szCs w:val="28"/>
          <w:lang w:eastAsia="ar-SA"/>
        </w:rPr>
        <w:t xml:space="preserve"> </w:t>
      </w:r>
      <w:r w:rsidR="00A35D75" w:rsidRPr="00A35D75">
        <w:rPr>
          <w:rFonts w:ascii="Calibri" w:hAnsi="Calibri"/>
          <w:b/>
          <w:i/>
          <w:sz w:val="28"/>
          <w:szCs w:val="28"/>
        </w:rPr>
        <w:t xml:space="preserve">w ramach Programu Operacyjnego Wiedza Edukacja Rozwój 2014-2020 na realizację projektu „Stawiamy na rozwój UKW” </w:t>
      </w:r>
      <w:r w:rsidR="00A35D75" w:rsidRPr="00A35D75">
        <w:rPr>
          <w:rFonts w:ascii="Calibri" w:hAnsi="Calibri"/>
          <w:b/>
          <w:i/>
          <w:sz w:val="28"/>
          <w:szCs w:val="28"/>
        </w:rPr>
        <w:br/>
        <w:t>dofinansowanego ze środków Unii Europejskiej</w:t>
      </w:r>
    </w:p>
    <w:bookmarkEnd w:id="1"/>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7C1F19" w:rsidP="00EE5914">
      <w:pPr>
        <w:spacing w:line="276" w:lineRule="auto"/>
        <w:jc w:val="center"/>
        <w:rPr>
          <w:rFonts w:asciiTheme="majorHAnsi" w:hAnsiTheme="majorHAnsi" w:cstheme="majorHAnsi"/>
          <w:b/>
          <w:bCs/>
          <w:sz w:val="20"/>
          <w:szCs w:val="20"/>
          <w:u w:val="single"/>
        </w:rPr>
      </w:pPr>
      <w:hyperlink r:id="rId10" w:history="1">
        <w:r w:rsidR="00EE5914" w:rsidRPr="00E17F2E">
          <w:rPr>
            <w:rFonts w:asciiTheme="majorHAnsi" w:hAnsiTheme="majorHAnsi" w:cstheme="majorHAnsi"/>
            <w:b/>
            <w:bCs/>
            <w:color w:val="FF0000"/>
            <w:sz w:val="20"/>
            <w:szCs w:val="20"/>
            <w:u w:val="single" w:color="FF0000"/>
          </w:rPr>
          <w:t>https://platformazakupowa.pl</w:t>
        </w:r>
      </w:hyperlink>
    </w:p>
    <w:p w14:paraId="2A830732" w14:textId="4A839684" w:rsidR="00D24682" w:rsidRDefault="00D24682" w:rsidP="00EE5914">
      <w:pPr>
        <w:spacing w:line="276" w:lineRule="auto"/>
        <w:rPr>
          <w:rFonts w:asciiTheme="majorHAnsi" w:hAnsiTheme="majorHAnsi" w:cs="Calibri Light"/>
          <w:b/>
          <w:i/>
          <w:sz w:val="28"/>
          <w:szCs w:val="28"/>
          <w:lang w:eastAsia="ar-SA"/>
        </w:rPr>
      </w:pPr>
    </w:p>
    <w:p w14:paraId="35321F6B" w14:textId="5EEC2110" w:rsidR="00D24682" w:rsidRDefault="00D24682" w:rsidP="00EE5914">
      <w:pPr>
        <w:spacing w:line="276" w:lineRule="auto"/>
        <w:rPr>
          <w:rFonts w:asciiTheme="majorHAnsi" w:hAnsiTheme="majorHAnsi" w:cs="Calibri Light"/>
          <w:b/>
          <w:i/>
          <w:sz w:val="28"/>
          <w:szCs w:val="28"/>
          <w:lang w:eastAsia="ar-SA"/>
        </w:rPr>
      </w:pPr>
    </w:p>
    <w:p w14:paraId="23BD50CF" w14:textId="77777777" w:rsidR="00D24682" w:rsidRPr="00EE5914" w:rsidRDefault="00D24682" w:rsidP="00EE5914">
      <w:pPr>
        <w:spacing w:line="276" w:lineRule="auto"/>
        <w:rPr>
          <w:rFonts w:asciiTheme="majorHAnsi" w:hAnsiTheme="majorHAnsi" w:cs="Calibri Light"/>
          <w:b/>
          <w:i/>
          <w:sz w:val="28"/>
          <w:szCs w:val="28"/>
          <w:lang w:eastAsia="ar-SA"/>
        </w:rPr>
      </w:pPr>
    </w:p>
    <w:p w14:paraId="5F8D7796" w14:textId="0356F530"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UKW/DZP-281-D</w:t>
      </w:r>
      <w:r w:rsidR="00D24682">
        <w:rPr>
          <w:rFonts w:asciiTheme="majorHAnsi" w:hAnsiTheme="majorHAnsi"/>
          <w:b/>
          <w:szCs w:val="20"/>
          <w:u w:val="single"/>
        </w:rPr>
        <w:t>-64</w:t>
      </w:r>
      <w:r w:rsidRPr="00EE5914">
        <w:rPr>
          <w:rFonts w:asciiTheme="majorHAnsi" w:hAnsiTheme="majorHAnsi"/>
          <w:b/>
          <w:szCs w:val="20"/>
          <w:u w:val="single"/>
        </w:rPr>
        <w:t>/2023</w:t>
      </w:r>
    </w:p>
    <w:p w14:paraId="2830BD6B" w14:textId="61D5323C" w:rsidR="007B7462" w:rsidRPr="003C352A"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3C352A">
        <w:rPr>
          <w:rFonts w:asciiTheme="majorHAnsi" w:eastAsia="Times New Roman" w:hAnsiTheme="majorHAnsi"/>
          <w:sz w:val="20"/>
          <w:szCs w:val="20"/>
        </w:rPr>
        <w:t xml:space="preserve">Bydgoszcz, dnia </w:t>
      </w:r>
      <w:r w:rsidR="00B10FE0">
        <w:rPr>
          <w:rFonts w:asciiTheme="majorHAnsi" w:eastAsia="Times New Roman" w:hAnsiTheme="majorHAnsi"/>
          <w:sz w:val="20"/>
          <w:szCs w:val="20"/>
        </w:rPr>
        <w:t>22</w:t>
      </w:r>
      <w:r w:rsidRPr="003C352A">
        <w:rPr>
          <w:rFonts w:asciiTheme="majorHAnsi" w:eastAsia="Times New Roman" w:hAnsiTheme="majorHAnsi"/>
          <w:sz w:val="20"/>
          <w:szCs w:val="20"/>
        </w:rPr>
        <w:t>.</w:t>
      </w:r>
      <w:r w:rsidR="00D24682" w:rsidRPr="003C352A">
        <w:rPr>
          <w:rFonts w:asciiTheme="majorHAnsi" w:eastAsia="Times New Roman" w:hAnsiTheme="majorHAnsi"/>
          <w:sz w:val="20"/>
          <w:szCs w:val="20"/>
        </w:rPr>
        <w:t>11</w:t>
      </w:r>
      <w:r w:rsidRPr="003C352A">
        <w:rPr>
          <w:rFonts w:asciiTheme="majorHAnsi" w:eastAsia="Times New Roman" w:hAnsiTheme="majorHAnsi"/>
          <w:sz w:val="20"/>
          <w:szCs w:val="20"/>
        </w:rPr>
        <w:t>.2023 r.</w:t>
      </w:r>
    </w:p>
    <w:p w14:paraId="219ACBA7" w14:textId="77777777" w:rsidR="00D24682" w:rsidRPr="00EE5914" w:rsidRDefault="00D24682" w:rsidP="00EE5914">
      <w:pPr>
        <w:tabs>
          <w:tab w:val="center" w:pos="4536"/>
          <w:tab w:val="left" w:pos="6945"/>
        </w:tabs>
        <w:spacing w:before="240" w:after="240" w:line="360" w:lineRule="auto"/>
        <w:rPr>
          <w:rFonts w:asciiTheme="majorHAnsi" w:eastAsia="Times New Roman" w:hAnsiTheme="majorHAnsi"/>
          <w:caps/>
          <w:sz w:val="22"/>
          <w:szCs w:val="22"/>
        </w:rPr>
      </w:pP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1"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77777777" w:rsidR="006C0507" w:rsidRPr="00E17F2E" w:rsidRDefault="006C0507" w:rsidP="00D25162">
      <w:pPr>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E73D4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2"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 xml:space="preserve">wania w oparciu o art. 74 </w:t>
      </w:r>
      <w:proofErr w:type="spellStart"/>
      <w:r w:rsidR="00AA0AB6" w:rsidRPr="00E17F2E">
        <w:rPr>
          <w:rFonts w:asciiTheme="majorHAnsi" w:hAnsiTheme="majorHAnsi" w:cstheme="majorHAnsi"/>
          <w:sz w:val="20"/>
        </w:rPr>
        <w:t>Pzp</w:t>
      </w:r>
      <w:proofErr w:type="spellEnd"/>
      <w:r w:rsidR="00AA0AB6" w:rsidRPr="00E17F2E">
        <w:rPr>
          <w:rFonts w:asciiTheme="majorHAnsi" w:hAnsiTheme="majorHAnsi" w:cstheme="majorHAnsi"/>
          <w:sz w:val="20"/>
        </w:rPr>
        <w:t>.</w:t>
      </w:r>
    </w:p>
    <w:p w14:paraId="06FCF025"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proofErr w:type="spellStart"/>
      <w:r w:rsidR="00AA0AB6" w:rsidRPr="00E17F2E">
        <w:rPr>
          <w:rFonts w:asciiTheme="majorHAnsi" w:hAnsiTheme="majorHAnsi" w:cstheme="majorHAnsi"/>
          <w:sz w:val="20"/>
        </w:rPr>
        <w:t>Pzp</w:t>
      </w:r>
      <w:proofErr w:type="spellEnd"/>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proofErr w:type="spellStart"/>
      <w:r w:rsidR="00AA0AB6" w:rsidRPr="00E17F2E">
        <w:rPr>
          <w:rFonts w:asciiTheme="majorHAnsi" w:hAnsiTheme="majorHAnsi" w:cstheme="majorHAnsi"/>
          <w:sz w:val="20"/>
        </w:rPr>
        <w:t>Pzp</w:t>
      </w:r>
      <w:proofErr w:type="spellEnd"/>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lastRenderedPageBreak/>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46ED2CCE" w:rsidR="00E73D49" w:rsidRPr="00E17F2E" w:rsidRDefault="00E73D49" w:rsidP="007F6BD0">
      <w:pPr>
        <w:pStyle w:val="pkt"/>
        <w:numPr>
          <w:ilvl w:val="0"/>
          <w:numId w:val="19"/>
        </w:numPr>
        <w:tabs>
          <w:tab w:val="left" w:pos="0"/>
        </w:tabs>
        <w:spacing w:before="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w:t>
      </w:r>
      <w:r w:rsidR="00D27BC7">
        <w:rPr>
          <w:rFonts w:asciiTheme="majorHAnsi" w:hAnsiTheme="majorHAnsi" w:cstheme="majorHAnsi"/>
          <w:sz w:val="20"/>
        </w:rPr>
        <w:t>ustawy z dnia 11 września 2019 r. Prawo zamówień publicznych ( DZ. U. z 2023 r. poz. 1605</w:t>
      </w:r>
      <w:r w:rsidR="00C16416">
        <w:rPr>
          <w:rFonts w:asciiTheme="majorHAnsi" w:hAnsiTheme="majorHAnsi" w:cstheme="majorHAnsi"/>
          <w:sz w:val="20"/>
        </w:rPr>
        <w:t xml:space="preserve"> ze zm.</w:t>
      </w:r>
      <w:r w:rsidR="00D27BC7">
        <w:rPr>
          <w:rFonts w:asciiTheme="majorHAnsi" w:hAnsiTheme="majorHAnsi" w:cstheme="majorHAnsi"/>
          <w:sz w:val="20"/>
        </w:rPr>
        <w:t>) , zwan</w:t>
      </w:r>
      <w:r w:rsidR="005E13BD">
        <w:rPr>
          <w:rFonts w:asciiTheme="majorHAnsi" w:hAnsiTheme="majorHAnsi" w:cstheme="majorHAnsi"/>
          <w:sz w:val="20"/>
        </w:rPr>
        <w:t>ą</w:t>
      </w:r>
      <w:r w:rsidR="00D27BC7">
        <w:rPr>
          <w:rFonts w:asciiTheme="majorHAnsi" w:hAnsiTheme="majorHAnsi" w:cstheme="majorHAnsi"/>
          <w:sz w:val="20"/>
        </w:rPr>
        <w:t xml:space="preserve"> dalej Ustawą </w:t>
      </w:r>
      <w:proofErr w:type="spellStart"/>
      <w:r w:rsidR="00D27BC7">
        <w:rPr>
          <w:rFonts w:asciiTheme="majorHAnsi" w:hAnsiTheme="majorHAnsi" w:cstheme="majorHAnsi"/>
          <w:sz w:val="20"/>
        </w:rPr>
        <w:t>Pzp</w:t>
      </w:r>
      <w:proofErr w:type="spellEnd"/>
      <w:r w:rsidR="00D27BC7">
        <w:rPr>
          <w:rFonts w:asciiTheme="majorHAnsi" w:hAnsiTheme="majorHAnsi" w:cstheme="majorHAnsi"/>
          <w:sz w:val="20"/>
        </w:rPr>
        <w:t xml:space="preserve"> </w:t>
      </w:r>
      <w:r w:rsidRPr="00E17F2E">
        <w:rPr>
          <w:rFonts w:asciiTheme="majorHAnsi" w:hAnsiTheme="majorHAnsi" w:cstheme="majorHAnsi"/>
          <w:sz w:val="20"/>
        </w:rPr>
        <w:t xml:space="preserve">oraz niniejszej Specyfikacji Warunków Zamówienia, zwaną dalej „SWZ”. </w:t>
      </w:r>
    </w:p>
    <w:p w14:paraId="0AC93A8E"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77777777" w:rsidR="00E73D49" w:rsidRPr="00E17F2E" w:rsidRDefault="00E73D49" w:rsidP="007F6BD0">
      <w:pPr>
        <w:pStyle w:val="pkt"/>
        <w:numPr>
          <w:ilvl w:val="0"/>
          <w:numId w:val="19"/>
        </w:numPr>
        <w:tabs>
          <w:tab w:val="left" w:pos="0"/>
        </w:tabs>
        <w:spacing w:before="240" w:after="12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ab/>
        <w:t xml:space="preserve">Szacunkowa wartość przedmiotowego zamówienia nie przekracza progów unijnych o jakich mowa w art. 3 ustawy </w:t>
      </w:r>
      <w:proofErr w:type="spellStart"/>
      <w:r w:rsidRPr="00E17F2E">
        <w:rPr>
          <w:rFonts w:asciiTheme="majorHAnsi" w:hAnsiTheme="majorHAnsi" w:cstheme="majorHAnsi"/>
          <w:sz w:val="20"/>
        </w:rPr>
        <w:t>Pzp</w:t>
      </w:r>
      <w:proofErr w:type="spellEnd"/>
      <w:r w:rsidRPr="00E17F2E">
        <w:rPr>
          <w:rFonts w:asciiTheme="majorHAnsi" w:hAnsiTheme="majorHAnsi" w:cstheme="majorHAnsi"/>
          <w:sz w:val="20"/>
        </w:rPr>
        <w:t xml:space="preserve">.  </w:t>
      </w:r>
    </w:p>
    <w:p w14:paraId="57242EBF" w14:textId="3E67A56F" w:rsidR="00E73D49" w:rsidRDefault="00E73D49" w:rsidP="007F6BD0">
      <w:pPr>
        <w:pStyle w:val="pkt"/>
        <w:numPr>
          <w:ilvl w:val="0"/>
          <w:numId w:val="19"/>
        </w:numPr>
        <w:tabs>
          <w:tab w:val="left" w:pos="0"/>
        </w:tabs>
        <w:spacing w:before="240" w:after="12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9427196" w14:textId="3E234557" w:rsidR="00D27BC7" w:rsidRPr="00D27BC7" w:rsidRDefault="00D27BC7" w:rsidP="007F6BD0">
      <w:pPr>
        <w:pStyle w:val="Akapitzlist"/>
        <w:numPr>
          <w:ilvl w:val="0"/>
          <w:numId w:val="19"/>
        </w:numPr>
        <w:spacing w:line="276" w:lineRule="auto"/>
        <w:ind w:left="284" w:hanging="284"/>
        <w:contextualSpacing/>
        <w:rPr>
          <w:rFonts w:asciiTheme="majorHAnsi" w:hAnsiTheme="majorHAnsi" w:cstheme="majorHAnsi"/>
          <w:sz w:val="20"/>
          <w:szCs w:val="20"/>
        </w:rPr>
      </w:pPr>
      <w:r w:rsidRPr="00D27BC7">
        <w:rPr>
          <w:rFonts w:asciiTheme="majorHAnsi" w:hAnsiTheme="majorHAnsi" w:cstheme="majorHAnsi"/>
          <w:sz w:val="20"/>
          <w:szCs w:val="20"/>
        </w:rPr>
        <w:t>Zamawiający nie przewiduje złożenia oferty w postaci katalogów elektronicznych.</w:t>
      </w:r>
    </w:p>
    <w:p w14:paraId="22222D81"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77777777" w:rsidR="00E73D49" w:rsidRPr="00E17F2E" w:rsidRDefault="00E73D49" w:rsidP="007F6BD0">
      <w:pPr>
        <w:pStyle w:val="pkt"/>
        <w:numPr>
          <w:ilvl w:val="0"/>
          <w:numId w:val="19"/>
        </w:numPr>
        <w:tabs>
          <w:tab w:val="left" w:pos="0"/>
        </w:tabs>
        <w:spacing w:before="240" w:after="0" w:line="276" w:lineRule="auto"/>
        <w:ind w:left="284" w:hanging="284"/>
        <w:contextualSpacing/>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w:t>
      </w:r>
      <w:proofErr w:type="spellStart"/>
      <w:r w:rsidRPr="00E17F2E">
        <w:rPr>
          <w:rFonts w:asciiTheme="majorHAnsi" w:hAnsiTheme="majorHAnsi" w:cstheme="majorHAnsi"/>
          <w:sz w:val="20"/>
        </w:rPr>
        <w:t>Pzp</w:t>
      </w:r>
      <w:proofErr w:type="spellEnd"/>
      <w:r w:rsidRPr="00E17F2E">
        <w:rPr>
          <w:rFonts w:asciiTheme="majorHAnsi" w:hAnsiTheme="majorHAnsi" w:cstheme="majorHAnsi"/>
          <w:sz w:val="20"/>
        </w:rPr>
        <w:t xml:space="preserve">.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0EB04313" w14:textId="62FB2F79" w:rsidR="00F5314F" w:rsidRPr="00E17F2E" w:rsidRDefault="00475975" w:rsidP="003F58CE">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dostawa </w:t>
      </w:r>
      <w:r w:rsidR="00D27BC7">
        <w:rPr>
          <w:rFonts w:asciiTheme="majorHAnsi" w:hAnsiTheme="majorHAnsi" w:cstheme="majorHAnsi"/>
          <w:sz w:val="20"/>
        </w:rPr>
        <w:t xml:space="preserve">części i </w:t>
      </w:r>
      <w:r w:rsidR="00DC15AF" w:rsidRPr="00E17F2E">
        <w:rPr>
          <w:rFonts w:asciiTheme="majorHAnsi" w:hAnsiTheme="majorHAnsi" w:cstheme="majorHAnsi"/>
          <w:sz w:val="20"/>
        </w:rPr>
        <w:t>materiałów</w:t>
      </w:r>
      <w:r w:rsidR="00B11120" w:rsidRPr="00E17F2E">
        <w:rPr>
          <w:rFonts w:asciiTheme="majorHAnsi" w:hAnsiTheme="majorHAnsi" w:cstheme="majorHAnsi"/>
          <w:sz w:val="20"/>
        </w:rPr>
        <w:t xml:space="preserve"> </w:t>
      </w:r>
      <w:r w:rsidR="00EC5290">
        <w:rPr>
          <w:rFonts w:asciiTheme="majorHAnsi" w:hAnsiTheme="majorHAnsi" w:cstheme="majorHAnsi"/>
          <w:sz w:val="20"/>
        </w:rPr>
        <w:t xml:space="preserve">eksploatacyjnych </w:t>
      </w:r>
      <w:r w:rsidR="00A9632E">
        <w:rPr>
          <w:rFonts w:asciiTheme="majorHAnsi" w:hAnsiTheme="majorHAnsi" w:cstheme="majorHAnsi"/>
          <w:sz w:val="20"/>
        </w:rPr>
        <w:t xml:space="preserve">do druku </w:t>
      </w:r>
      <w:r w:rsidR="00D27BC7">
        <w:rPr>
          <w:rFonts w:asciiTheme="majorHAnsi" w:hAnsiTheme="majorHAnsi" w:cstheme="majorHAnsi"/>
          <w:sz w:val="20"/>
        </w:rPr>
        <w:t>3D.</w:t>
      </w:r>
    </w:p>
    <w:p w14:paraId="638DA996" w14:textId="4CAFBBF4" w:rsidR="00A9632E" w:rsidRPr="00E17F2E" w:rsidRDefault="00DC15AF" w:rsidP="00A9632E">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Pr="00E17F2E">
        <w:rPr>
          <w:rFonts w:asciiTheme="majorHAnsi" w:hAnsiTheme="majorHAnsi" w:cstheme="majorHAnsi"/>
          <w:sz w:val="20"/>
        </w:rPr>
        <w:t>Szczegółowy opis przedmiotu zamówienia określony został w Załączniku nr 2  Formularzu Cenowym.</w:t>
      </w:r>
    </w:p>
    <w:p w14:paraId="58404277" w14:textId="3E0AACD6" w:rsidR="007720A2" w:rsidRDefault="00B94738" w:rsidP="007F6BD0">
      <w:pPr>
        <w:pStyle w:val="pkt"/>
        <w:spacing w:before="0" w:after="0" w:line="276" w:lineRule="auto"/>
        <w:ind w:left="425" w:hanging="425"/>
        <w:rPr>
          <w:rFonts w:asciiTheme="majorHAnsi" w:hAnsiTheme="majorHAnsi" w:cstheme="majorHAnsi"/>
          <w:sz w:val="20"/>
        </w:rPr>
      </w:pPr>
      <w:r w:rsidRPr="00E17F2E">
        <w:rPr>
          <w:rFonts w:asciiTheme="majorHAnsi" w:hAnsiTheme="majorHAnsi" w:cstheme="majorHAnsi"/>
          <w:b/>
          <w:bCs/>
          <w:sz w:val="20"/>
        </w:rPr>
        <w:t>3</w:t>
      </w:r>
      <w:r w:rsidR="00163B7C" w:rsidRPr="00E17F2E">
        <w:rPr>
          <w:rFonts w:asciiTheme="majorHAnsi" w:hAnsiTheme="majorHAnsi" w:cstheme="majorHAnsi"/>
          <w:b/>
          <w:bCs/>
          <w:sz w:val="20"/>
        </w:rPr>
        <w:t xml:space="preserve">. </w:t>
      </w:r>
      <w:r w:rsidR="00163B7C" w:rsidRPr="00E17F2E">
        <w:rPr>
          <w:rFonts w:asciiTheme="majorHAnsi" w:hAnsiTheme="majorHAnsi" w:cstheme="majorHAnsi"/>
          <w:b/>
          <w:bCs/>
          <w:sz w:val="20"/>
        </w:rPr>
        <w:tab/>
      </w:r>
      <w:r w:rsidR="00A9632E" w:rsidRPr="00A9632E">
        <w:rPr>
          <w:rFonts w:asciiTheme="majorHAnsi" w:hAnsiTheme="majorHAnsi" w:cstheme="majorHAnsi"/>
          <w:sz w:val="20"/>
        </w:rPr>
        <w:t xml:space="preserve">Zamawiający podzielił zamówienie na </w:t>
      </w:r>
      <w:r w:rsidR="00D27BC7">
        <w:rPr>
          <w:rFonts w:asciiTheme="majorHAnsi" w:hAnsiTheme="majorHAnsi" w:cstheme="majorHAnsi"/>
          <w:sz w:val="20"/>
        </w:rPr>
        <w:t>2</w:t>
      </w:r>
      <w:r w:rsidR="00A9632E" w:rsidRPr="00A9632E">
        <w:rPr>
          <w:rFonts w:asciiTheme="majorHAnsi" w:hAnsiTheme="majorHAnsi" w:cstheme="majorHAnsi"/>
          <w:sz w:val="20"/>
        </w:rPr>
        <w:t xml:space="preserve"> odrębne części, z których każda oceniana będzie oddzielnie. </w:t>
      </w:r>
      <w:r w:rsidR="007720A2">
        <w:rPr>
          <w:rFonts w:asciiTheme="majorHAnsi" w:hAnsiTheme="majorHAnsi" w:cstheme="majorHAnsi"/>
          <w:sz w:val="20"/>
        </w:rPr>
        <w:t>Wykonawca może złożyć ofertę na</w:t>
      </w:r>
      <w:r w:rsidR="00D27BC7">
        <w:rPr>
          <w:rFonts w:asciiTheme="majorHAnsi" w:hAnsiTheme="majorHAnsi" w:cstheme="majorHAnsi"/>
          <w:sz w:val="20"/>
        </w:rPr>
        <w:t xml:space="preserve"> dowolną ilość części </w:t>
      </w:r>
      <w:r w:rsidR="00A9632E" w:rsidRPr="00A9632E">
        <w:rPr>
          <w:rFonts w:asciiTheme="majorHAnsi" w:hAnsiTheme="majorHAnsi" w:cstheme="majorHAnsi"/>
          <w:sz w:val="20"/>
        </w:rPr>
        <w:t>zamówienia.</w:t>
      </w:r>
    </w:p>
    <w:p w14:paraId="3A9564F6" w14:textId="77777777" w:rsidR="007F6BD0" w:rsidRDefault="007F6BD0" w:rsidP="007F6BD0">
      <w:pPr>
        <w:pStyle w:val="pkt"/>
        <w:spacing w:before="0" w:after="0" w:line="276" w:lineRule="auto"/>
        <w:ind w:left="425" w:hanging="425"/>
        <w:rPr>
          <w:rFonts w:asciiTheme="majorHAnsi" w:hAnsiTheme="majorHAnsi" w:cstheme="majorHAnsi"/>
          <w:sz w:val="20"/>
        </w:rPr>
      </w:pPr>
    </w:p>
    <w:p w14:paraId="23E6CAEA" w14:textId="65D9FA34" w:rsidR="007D16B3" w:rsidRPr="007D16B3" w:rsidRDefault="007D16B3" w:rsidP="007D16B3">
      <w:pPr>
        <w:pStyle w:val="pkt"/>
        <w:spacing w:before="0" w:after="0" w:line="276" w:lineRule="auto"/>
        <w:ind w:left="425" w:hanging="26"/>
        <w:rPr>
          <w:rFonts w:asciiTheme="majorHAnsi" w:hAnsiTheme="majorHAnsi" w:cstheme="majorHAnsi"/>
          <w:b/>
          <w:bCs/>
          <w:sz w:val="20"/>
        </w:rPr>
      </w:pPr>
      <w:r w:rsidRPr="007D16B3">
        <w:rPr>
          <w:rFonts w:asciiTheme="majorHAnsi" w:hAnsiTheme="majorHAnsi" w:cstheme="majorHAnsi"/>
          <w:b/>
          <w:bCs/>
          <w:sz w:val="20"/>
        </w:rPr>
        <w:t>Przedmiot zamówienia w ramach poszczególnych części obejmuje:</w:t>
      </w:r>
    </w:p>
    <w:p w14:paraId="3127B477" w14:textId="18E4600F" w:rsidR="007D16B3" w:rsidRPr="007D16B3" w:rsidRDefault="007D16B3" w:rsidP="007D16B3">
      <w:pPr>
        <w:pStyle w:val="pkt"/>
        <w:spacing w:before="0" w:after="0" w:line="276" w:lineRule="auto"/>
        <w:ind w:left="425" w:hanging="26"/>
        <w:rPr>
          <w:rFonts w:asciiTheme="majorHAnsi" w:hAnsiTheme="majorHAnsi" w:cstheme="majorHAnsi"/>
          <w:sz w:val="20"/>
        </w:rPr>
      </w:pPr>
      <w:r w:rsidRPr="007D16B3">
        <w:rPr>
          <w:rFonts w:asciiTheme="majorHAnsi" w:hAnsiTheme="majorHAnsi" w:cstheme="majorHAnsi"/>
          <w:sz w:val="20"/>
        </w:rPr>
        <w:t xml:space="preserve">Część 1: dostawa </w:t>
      </w:r>
      <w:r w:rsidR="00D27BC7">
        <w:rPr>
          <w:rFonts w:asciiTheme="majorHAnsi" w:hAnsiTheme="majorHAnsi" w:cstheme="majorHAnsi"/>
          <w:sz w:val="20"/>
        </w:rPr>
        <w:t>proszków</w:t>
      </w:r>
      <w:r w:rsidRPr="007D16B3">
        <w:rPr>
          <w:rFonts w:asciiTheme="majorHAnsi" w:hAnsiTheme="majorHAnsi" w:cstheme="majorHAnsi"/>
          <w:sz w:val="20"/>
        </w:rPr>
        <w:t xml:space="preserve"> do druku 3D szczegółowo opisana w Formularzu cenowym</w:t>
      </w:r>
    </w:p>
    <w:p w14:paraId="2C7F53D6" w14:textId="6707BC68" w:rsidR="007D16B3" w:rsidRPr="007D16B3" w:rsidRDefault="007D16B3" w:rsidP="007D16B3">
      <w:pPr>
        <w:pStyle w:val="pkt"/>
        <w:spacing w:before="0" w:after="0" w:line="276" w:lineRule="auto"/>
        <w:ind w:left="425" w:hanging="26"/>
        <w:rPr>
          <w:rFonts w:asciiTheme="majorHAnsi" w:hAnsiTheme="majorHAnsi" w:cstheme="majorHAnsi"/>
          <w:sz w:val="20"/>
        </w:rPr>
      </w:pPr>
      <w:r w:rsidRPr="007D16B3">
        <w:rPr>
          <w:rFonts w:asciiTheme="majorHAnsi" w:hAnsiTheme="majorHAnsi" w:cstheme="majorHAnsi"/>
          <w:sz w:val="20"/>
        </w:rPr>
        <w:t>Część 2: dostawa</w:t>
      </w:r>
      <w:r w:rsidR="00D27BC7">
        <w:rPr>
          <w:rFonts w:asciiTheme="majorHAnsi" w:hAnsiTheme="majorHAnsi" w:cstheme="majorHAnsi"/>
          <w:sz w:val="20"/>
        </w:rPr>
        <w:t xml:space="preserve"> części i </w:t>
      </w:r>
      <w:proofErr w:type="spellStart"/>
      <w:r w:rsidR="00D27BC7">
        <w:rPr>
          <w:rFonts w:asciiTheme="majorHAnsi" w:hAnsiTheme="majorHAnsi" w:cstheme="majorHAnsi"/>
          <w:sz w:val="20"/>
        </w:rPr>
        <w:t>filamentów</w:t>
      </w:r>
      <w:proofErr w:type="spellEnd"/>
      <w:r w:rsidR="00D27BC7">
        <w:rPr>
          <w:rFonts w:asciiTheme="majorHAnsi" w:hAnsiTheme="majorHAnsi" w:cstheme="majorHAnsi"/>
          <w:sz w:val="20"/>
        </w:rPr>
        <w:t xml:space="preserve"> </w:t>
      </w:r>
      <w:r w:rsidRPr="007D16B3">
        <w:rPr>
          <w:rFonts w:asciiTheme="majorHAnsi" w:hAnsiTheme="majorHAnsi" w:cstheme="majorHAnsi"/>
          <w:sz w:val="20"/>
        </w:rPr>
        <w:t xml:space="preserve"> do druku 3D szczegółowo opisana w Formularzu cenowym</w:t>
      </w:r>
    </w:p>
    <w:p w14:paraId="2F9F2B3C" w14:textId="77777777" w:rsidR="007D16B3" w:rsidRDefault="007D16B3" w:rsidP="003F58CE">
      <w:pPr>
        <w:pStyle w:val="pkt"/>
        <w:spacing w:before="0" w:after="0" w:line="276" w:lineRule="auto"/>
        <w:ind w:left="425" w:hanging="425"/>
        <w:rPr>
          <w:rFonts w:asciiTheme="majorHAnsi" w:hAnsiTheme="majorHAnsi" w:cstheme="majorHAnsi"/>
          <w:b/>
          <w:bCs/>
          <w:sz w:val="20"/>
        </w:rPr>
      </w:pPr>
    </w:p>
    <w:p w14:paraId="529DD15F" w14:textId="7E6A5F19" w:rsidR="00163B7C" w:rsidRPr="00E17F2E" w:rsidRDefault="00A9632E" w:rsidP="003F58CE">
      <w:pPr>
        <w:pStyle w:val="pkt"/>
        <w:spacing w:before="0" w:after="0" w:line="276" w:lineRule="auto"/>
        <w:ind w:left="425" w:hanging="425"/>
        <w:rPr>
          <w:rFonts w:asciiTheme="majorHAnsi" w:hAnsiTheme="majorHAnsi" w:cstheme="majorHAnsi"/>
          <w:b/>
          <w:bCs/>
          <w:sz w:val="20"/>
        </w:rPr>
      </w:pPr>
      <w:r w:rsidRPr="00A9632E">
        <w:rPr>
          <w:rFonts w:asciiTheme="majorHAnsi" w:hAnsiTheme="majorHAnsi" w:cstheme="majorHAnsi"/>
          <w:b/>
          <w:bCs/>
          <w:sz w:val="20"/>
        </w:rPr>
        <w:t>4</w:t>
      </w:r>
      <w:r>
        <w:rPr>
          <w:rFonts w:asciiTheme="majorHAnsi" w:hAnsiTheme="majorHAnsi" w:cstheme="majorHAnsi"/>
          <w:sz w:val="20"/>
        </w:rPr>
        <w:t xml:space="preserve">.    </w:t>
      </w:r>
      <w:r>
        <w:rPr>
          <w:rFonts w:asciiTheme="majorHAnsi" w:hAnsiTheme="majorHAnsi" w:cstheme="majorHAnsi"/>
          <w:sz w:val="20"/>
        </w:rPr>
        <w:tab/>
      </w:r>
      <w:r w:rsidR="00163B7C" w:rsidRPr="00E17F2E">
        <w:rPr>
          <w:rFonts w:asciiTheme="majorHAnsi" w:hAnsiTheme="majorHAnsi" w:cstheme="majorHAnsi"/>
          <w:sz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BB577D3" w14:textId="1759DA67" w:rsidR="00163B7C" w:rsidRPr="00E17F2E" w:rsidRDefault="00A9632E" w:rsidP="00163B7C">
      <w:pPr>
        <w:pStyle w:val="pkt"/>
        <w:spacing w:line="276" w:lineRule="auto"/>
        <w:ind w:left="426" w:hanging="426"/>
        <w:rPr>
          <w:rFonts w:asciiTheme="majorHAnsi" w:hAnsiTheme="majorHAnsi" w:cstheme="majorHAnsi"/>
          <w:sz w:val="20"/>
        </w:rPr>
      </w:pPr>
      <w:r>
        <w:rPr>
          <w:rFonts w:asciiTheme="majorHAnsi" w:hAnsiTheme="majorHAnsi" w:cstheme="majorHAnsi"/>
          <w:b/>
          <w:bCs/>
          <w:sz w:val="20"/>
        </w:rPr>
        <w:t>5</w:t>
      </w:r>
      <w:r w:rsidR="00163B7C" w:rsidRPr="00E17F2E">
        <w:rPr>
          <w:rFonts w:asciiTheme="majorHAnsi" w:hAnsiTheme="majorHAnsi" w:cstheme="majorHAnsi"/>
          <w:b/>
          <w:bCs/>
          <w:sz w:val="20"/>
        </w:rPr>
        <w:t>.</w:t>
      </w:r>
      <w:r w:rsidR="00163B7C" w:rsidRPr="00E17F2E">
        <w:rPr>
          <w:rFonts w:asciiTheme="majorHAnsi" w:hAnsiTheme="majorHAnsi" w:cstheme="majorHAnsi"/>
          <w:sz w:val="20"/>
        </w:rPr>
        <w:tab/>
        <w:t xml:space="preserve">Rozwiązania równoważne: </w:t>
      </w:r>
    </w:p>
    <w:p w14:paraId="0144403E" w14:textId="5D608F39" w:rsidR="00AA1887" w:rsidRPr="00AA1887"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lastRenderedPageBreak/>
        <w:tab/>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AA1887">
        <w:rPr>
          <w:rFonts w:asciiTheme="majorHAnsi" w:hAnsiTheme="majorHAnsi" w:cstheme="majorHAnsi"/>
          <w:sz w:val="20"/>
        </w:rPr>
        <w:t>Pzp</w:t>
      </w:r>
      <w:proofErr w:type="spellEnd"/>
      <w:r w:rsidRPr="00AA1887">
        <w:rPr>
          <w:rFonts w:asciiTheme="majorHAnsi" w:hAnsiTheme="majorHAnsi" w:cstheme="majorHAnsi"/>
          <w:sz w:val="20"/>
        </w:rPr>
        <w:t xml:space="preserve"> należy je rozumieć jako przykładowe. Zamawiający zgodnie z art. 99 ust. 6 </w:t>
      </w:r>
      <w:proofErr w:type="spellStart"/>
      <w:r w:rsidRPr="00AA1887">
        <w:rPr>
          <w:rFonts w:asciiTheme="majorHAnsi" w:hAnsiTheme="majorHAnsi" w:cstheme="majorHAnsi"/>
          <w:sz w:val="20"/>
        </w:rPr>
        <w:t>Pzp</w:t>
      </w:r>
      <w:proofErr w:type="spellEnd"/>
      <w:r w:rsidRPr="00AA1887">
        <w:rPr>
          <w:rFonts w:asciiTheme="majorHAnsi" w:hAnsiTheme="majorHAnsi" w:cstheme="majorHAnsi"/>
          <w:sz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32613469" w14:textId="40102EF2" w:rsidR="00AA1887" w:rsidRPr="00AA1887"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14A8730B" w14:textId="3F67EB06" w:rsidR="000C3E03" w:rsidRPr="00E17F2E" w:rsidRDefault="00AA1887" w:rsidP="00AA1887">
      <w:pPr>
        <w:pStyle w:val="pkt"/>
        <w:numPr>
          <w:ilvl w:val="0"/>
          <w:numId w:val="37"/>
        </w:numPr>
        <w:spacing w:line="276" w:lineRule="auto"/>
        <w:rPr>
          <w:rFonts w:asciiTheme="majorHAnsi" w:hAnsiTheme="majorHAnsi" w:cstheme="majorHAnsi"/>
          <w:sz w:val="20"/>
        </w:rPr>
      </w:pPr>
      <w:r w:rsidRPr="00AA1887">
        <w:rPr>
          <w:rFonts w:asciiTheme="majorHAnsi" w:hAnsiTheme="majorHAnsi" w:cstheme="majorHAnsi"/>
          <w:sz w:val="20"/>
        </w:rPr>
        <w:t>W przypadku, gdy opis przedmiotu zamówienia będzie odnosił się do norm, ocen technicznych, specyfikacji technicznych i systemów referencji technicznych Zamawiający nie odrzuci oferty, jeśli proponowane w ofercie rozwiązania w równoważnym stopniu spełniają wymagania określone w opisie przedmiotu zamówienia.</w:t>
      </w:r>
    </w:p>
    <w:p w14:paraId="1B09D991" w14:textId="773315D9" w:rsidR="000A7DBC" w:rsidRPr="00E17F2E" w:rsidRDefault="00A9632E" w:rsidP="005408DD">
      <w:pPr>
        <w:pStyle w:val="pkt"/>
        <w:spacing w:before="0" w:after="0" w:line="360" w:lineRule="auto"/>
        <w:ind w:left="426" w:hanging="426"/>
        <w:rPr>
          <w:rFonts w:asciiTheme="majorHAnsi" w:hAnsiTheme="majorHAnsi" w:cstheme="majorHAnsi"/>
          <w:b/>
          <w:sz w:val="20"/>
          <w:u w:val="single"/>
        </w:rPr>
      </w:pPr>
      <w:r>
        <w:rPr>
          <w:rFonts w:asciiTheme="majorHAnsi" w:hAnsiTheme="majorHAnsi" w:cstheme="majorHAnsi"/>
          <w:b/>
          <w:sz w:val="20"/>
        </w:rPr>
        <w:t>6</w:t>
      </w:r>
      <w:r w:rsidR="003A6D57" w:rsidRPr="00E17F2E">
        <w:rPr>
          <w:rFonts w:asciiTheme="majorHAnsi" w:hAnsiTheme="majorHAnsi" w:cstheme="majorHAnsi"/>
          <w:b/>
          <w:sz w:val="20"/>
        </w:rPr>
        <w:t>.</w:t>
      </w:r>
      <w:r w:rsidR="003A6D57" w:rsidRPr="00E17F2E">
        <w:rPr>
          <w:rFonts w:asciiTheme="majorHAnsi" w:hAnsiTheme="majorHAnsi" w:cstheme="majorHAnsi"/>
          <w:b/>
          <w:sz w:val="20"/>
        </w:rPr>
        <w:tab/>
      </w:r>
      <w:r w:rsidR="000A7DBC" w:rsidRPr="00E17F2E">
        <w:rPr>
          <w:rFonts w:asciiTheme="majorHAnsi" w:hAnsiTheme="majorHAnsi" w:cstheme="majorHAnsi"/>
          <w:b/>
          <w:sz w:val="20"/>
          <w:u w:val="single"/>
        </w:rPr>
        <w:t xml:space="preserve">Wspólny Słownik Zamówień CPV: </w:t>
      </w:r>
    </w:p>
    <w:p w14:paraId="5FCEA0EC" w14:textId="0EC3F518" w:rsidR="00B11120" w:rsidRPr="003216AE" w:rsidRDefault="00B11120" w:rsidP="003216AE">
      <w:pPr>
        <w:pStyle w:val="pkt"/>
        <w:spacing w:before="0" w:after="0" w:line="360" w:lineRule="auto"/>
        <w:ind w:left="426" w:hanging="426"/>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3C2D7E">
        <w:rPr>
          <w:rFonts w:asciiTheme="majorHAnsi" w:hAnsiTheme="majorHAnsi" w:cstheme="majorHAnsi"/>
          <w:bCs/>
          <w:color w:val="000000"/>
          <w:sz w:val="20"/>
        </w:rPr>
        <w:t>3</w:t>
      </w:r>
      <w:r w:rsidR="00065D73" w:rsidRPr="003C2D7E">
        <w:rPr>
          <w:rFonts w:asciiTheme="majorHAnsi" w:hAnsiTheme="majorHAnsi" w:cstheme="majorHAnsi"/>
          <w:bCs/>
          <w:color w:val="000000"/>
          <w:sz w:val="20"/>
        </w:rPr>
        <w:t>0232100</w:t>
      </w:r>
      <w:r w:rsidRPr="003C2D7E">
        <w:rPr>
          <w:rFonts w:asciiTheme="majorHAnsi" w:hAnsiTheme="majorHAnsi" w:cstheme="majorHAnsi"/>
          <w:bCs/>
          <w:color w:val="000000"/>
          <w:sz w:val="20"/>
        </w:rPr>
        <w:t xml:space="preserve">-5 </w:t>
      </w:r>
      <w:r w:rsidR="007720A2">
        <w:rPr>
          <w:rFonts w:asciiTheme="majorHAnsi" w:hAnsiTheme="majorHAnsi" w:cstheme="majorHAnsi"/>
          <w:bCs/>
          <w:color w:val="000000"/>
          <w:sz w:val="20"/>
        </w:rPr>
        <w:t>Drukarki i plotery</w:t>
      </w:r>
    </w:p>
    <w:p w14:paraId="491B54EF" w14:textId="42686C52" w:rsidR="00062119" w:rsidRPr="00397DEE" w:rsidRDefault="00065D7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Zamawiający </w:t>
      </w:r>
      <w:r w:rsidRPr="00C375FF">
        <w:rPr>
          <w:rFonts w:asciiTheme="majorHAnsi" w:hAnsiTheme="majorHAnsi"/>
          <w:sz w:val="20"/>
          <w:szCs w:val="20"/>
        </w:rPr>
        <w:t>wymaga, aby przedmiot zamówienia był fabrycznie nowy, pełnowartościowy, wolny od wszelkich wad i uszkodzeń, bez wcześniejszej eksploatacji</w:t>
      </w:r>
      <w:r>
        <w:rPr>
          <w:rFonts w:asciiTheme="majorHAnsi" w:hAnsiTheme="majorHAnsi"/>
          <w:sz w:val="20"/>
          <w:szCs w:val="20"/>
        </w:rPr>
        <w:t>.</w:t>
      </w:r>
    </w:p>
    <w:p w14:paraId="3B105943" w14:textId="7B748A42" w:rsidR="00397DEE" w:rsidRDefault="00397DEE" w:rsidP="005E13BD">
      <w:pPr>
        <w:pStyle w:val="Akapitzlist"/>
        <w:numPr>
          <w:ilvl w:val="0"/>
          <w:numId w:val="36"/>
        </w:numPr>
        <w:spacing w:line="276" w:lineRule="auto"/>
        <w:jc w:val="both"/>
        <w:rPr>
          <w:rFonts w:asciiTheme="majorHAnsi" w:hAnsiTheme="majorHAnsi" w:cstheme="majorHAnsi"/>
          <w:sz w:val="20"/>
          <w:szCs w:val="20"/>
        </w:rPr>
      </w:pPr>
      <w:r w:rsidRPr="00397DEE">
        <w:rPr>
          <w:rFonts w:asciiTheme="majorHAnsi" w:hAnsiTheme="majorHAnsi" w:cs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8C32E5C" w14:textId="5A95AD4E" w:rsidR="00B95350" w:rsidRPr="00B95350" w:rsidRDefault="00B95350" w:rsidP="005E13BD">
      <w:pPr>
        <w:pStyle w:val="Akapitzlist"/>
        <w:numPr>
          <w:ilvl w:val="0"/>
          <w:numId w:val="36"/>
        </w:numPr>
        <w:spacing w:line="276" w:lineRule="auto"/>
        <w:jc w:val="both"/>
        <w:rPr>
          <w:rFonts w:asciiTheme="majorHAnsi" w:hAnsiTheme="majorHAnsi" w:cstheme="majorHAnsi"/>
          <w:sz w:val="20"/>
          <w:szCs w:val="20"/>
        </w:rPr>
      </w:pPr>
      <w:r w:rsidRPr="00B95350">
        <w:rPr>
          <w:rFonts w:asciiTheme="majorHAnsi" w:hAnsiTheme="majorHAnsi" w:cstheme="majorHAnsi"/>
          <w:sz w:val="20"/>
          <w:szCs w:val="20"/>
        </w:rPr>
        <w:t xml:space="preserve">Wykonawca zobowiązany jest do udzielenia gwarancji na </w:t>
      </w:r>
      <w:r>
        <w:rPr>
          <w:rFonts w:asciiTheme="majorHAnsi" w:hAnsiTheme="majorHAnsi" w:cstheme="majorHAnsi"/>
          <w:sz w:val="20"/>
          <w:szCs w:val="20"/>
        </w:rPr>
        <w:t xml:space="preserve">elementy wchodzące w skład </w:t>
      </w:r>
      <w:r w:rsidRPr="00B95350">
        <w:rPr>
          <w:rFonts w:asciiTheme="majorHAnsi" w:hAnsiTheme="majorHAnsi" w:cstheme="majorHAnsi"/>
          <w:sz w:val="20"/>
          <w:szCs w:val="20"/>
        </w:rPr>
        <w:t>przedmiot</w:t>
      </w:r>
      <w:r>
        <w:rPr>
          <w:rFonts w:asciiTheme="majorHAnsi" w:hAnsiTheme="majorHAnsi" w:cstheme="majorHAnsi"/>
          <w:sz w:val="20"/>
          <w:szCs w:val="20"/>
        </w:rPr>
        <w:t>u</w:t>
      </w:r>
      <w:r w:rsidRPr="00B95350">
        <w:rPr>
          <w:rFonts w:asciiTheme="majorHAnsi" w:hAnsiTheme="majorHAnsi" w:cstheme="majorHAnsi"/>
          <w:sz w:val="20"/>
          <w:szCs w:val="20"/>
        </w:rPr>
        <w:t xml:space="preserve"> zamówienia na okres minimum 12 miesięcy, licząc od dnia podpisania protokołu </w:t>
      </w:r>
      <w:r>
        <w:rPr>
          <w:rFonts w:asciiTheme="majorHAnsi" w:hAnsiTheme="majorHAnsi" w:cstheme="majorHAnsi"/>
          <w:sz w:val="20"/>
          <w:szCs w:val="20"/>
        </w:rPr>
        <w:t>przyjęcia towaru</w:t>
      </w:r>
      <w:r w:rsidRPr="00B95350">
        <w:rPr>
          <w:rFonts w:asciiTheme="majorHAnsi" w:hAnsiTheme="majorHAnsi" w:cstheme="majorHAnsi"/>
          <w:sz w:val="20"/>
          <w:szCs w:val="20"/>
        </w:rPr>
        <w:t>.</w:t>
      </w:r>
    </w:p>
    <w:p w14:paraId="40E8F206" w14:textId="65CD2AB9" w:rsidR="00B95350" w:rsidRPr="00B95350" w:rsidRDefault="00B95350" w:rsidP="005E13BD">
      <w:pPr>
        <w:pStyle w:val="Akapitzlist"/>
        <w:numPr>
          <w:ilvl w:val="0"/>
          <w:numId w:val="36"/>
        </w:numPr>
        <w:spacing w:line="276" w:lineRule="auto"/>
        <w:jc w:val="both"/>
        <w:rPr>
          <w:rFonts w:asciiTheme="majorHAnsi" w:hAnsiTheme="majorHAnsi" w:cstheme="majorHAnsi"/>
          <w:sz w:val="20"/>
          <w:szCs w:val="20"/>
        </w:rPr>
      </w:pPr>
      <w:r w:rsidRPr="00B95350">
        <w:rPr>
          <w:rFonts w:asciiTheme="majorHAnsi" w:hAnsiTheme="majorHAnsi" w:cstheme="majorHAnsi"/>
          <w:sz w:val="20"/>
          <w:szCs w:val="20"/>
        </w:rPr>
        <w:t>W przypadku towarów posiadających termin przydatności do użycia Zamawiający wymaga, aby okres pozostały do upływu terminu przydatności do użycia poszczególnych towarów wchodzących w skład przedmiotu zamówienia w dniu jego dostarczenia do Zamawiającego wynosił przynajmniej połowę okresu przydatności do użycia określonego przez producenta.</w:t>
      </w:r>
    </w:p>
    <w:p w14:paraId="38962260" w14:textId="4F667734" w:rsidR="00D30710" w:rsidRPr="00E17F2E" w:rsidRDefault="000C3E0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nie dopuszcza składania ofert wariantowych</w:t>
      </w:r>
      <w:r w:rsidR="0090071F" w:rsidRPr="00E17F2E">
        <w:rPr>
          <w:rFonts w:asciiTheme="majorHAnsi" w:hAnsiTheme="majorHAnsi" w:cstheme="majorHAnsi"/>
          <w:sz w:val="20"/>
          <w:szCs w:val="20"/>
        </w:rPr>
        <w:t xml:space="preserve"> oraz w postaci katalogów </w:t>
      </w:r>
      <w:r w:rsidR="00D30710" w:rsidRPr="00E17F2E">
        <w:rPr>
          <w:rFonts w:asciiTheme="majorHAnsi" w:hAnsiTheme="majorHAnsi" w:cstheme="majorHAnsi"/>
          <w:sz w:val="20"/>
          <w:szCs w:val="20"/>
        </w:rPr>
        <w:t>elektronicznych.</w:t>
      </w:r>
    </w:p>
    <w:p w14:paraId="72B196A3" w14:textId="7A86A455" w:rsidR="007F7DBA" w:rsidRDefault="000C3E03" w:rsidP="005E13BD">
      <w:pPr>
        <w:pStyle w:val="Akapitzlist"/>
        <w:widowControl w:val="0"/>
        <w:numPr>
          <w:ilvl w:val="0"/>
          <w:numId w:val="36"/>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proofErr w:type="spellStart"/>
      <w:r w:rsidR="001673AC" w:rsidRPr="00E17F2E">
        <w:rPr>
          <w:rFonts w:asciiTheme="majorHAnsi" w:hAnsiTheme="majorHAnsi" w:cstheme="majorHAnsi"/>
          <w:sz w:val="20"/>
          <w:szCs w:val="20"/>
        </w:rPr>
        <w:t>Pzp</w:t>
      </w:r>
      <w:proofErr w:type="spellEnd"/>
    </w:p>
    <w:p w14:paraId="7A19C198" w14:textId="77777777" w:rsidR="00396207" w:rsidRPr="00396207" w:rsidRDefault="00396207" w:rsidP="005E13BD">
      <w:pPr>
        <w:pStyle w:val="Akapitzlist"/>
        <w:numPr>
          <w:ilvl w:val="0"/>
          <w:numId w:val="36"/>
        </w:numPr>
        <w:spacing w:line="276" w:lineRule="auto"/>
        <w:rPr>
          <w:rFonts w:asciiTheme="majorHAnsi" w:hAnsiTheme="majorHAnsi" w:cstheme="majorHAnsi"/>
          <w:sz w:val="20"/>
          <w:szCs w:val="20"/>
        </w:rPr>
      </w:pPr>
      <w:r w:rsidRPr="00396207">
        <w:rPr>
          <w:rFonts w:asciiTheme="majorHAnsi" w:hAnsiTheme="majorHAnsi" w:cstheme="majorHAnsi"/>
          <w:sz w:val="20"/>
          <w:szCs w:val="20"/>
        </w:rPr>
        <w:t xml:space="preserve">Zamawiający nie przewiduje zawarcia umowy ramowej, o której mowa w art. 311–315 ustawy </w:t>
      </w:r>
      <w:proofErr w:type="spellStart"/>
      <w:r w:rsidRPr="00396207">
        <w:rPr>
          <w:rFonts w:asciiTheme="majorHAnsi" w:hAnsiTheme="majorHAnsi" w:cstheme="majorHAnsi"/>
          <w:sz w:val="20"/>
          <w:szCs w:val="20"/>
        </w:rPr>
        <w:t>Pzp</w:t>
      </w:r>
      <w:proofErr w:type="spellEnd"/>
      <w:r w:rsidRPr="00396207">
        <w:rPr>
          <w:rFonts w:asciiTheme="majorHAnsi" w:hAnsiTheme="majorHAnsi" w:cstheme="majorHAnsi"/>
          <w:sz w:val="20"/>
          <w:szCs w:val="20"/>
        </w:rPr>
        <w:t>.</w:t>
      </w:r>
    </w:p>
    <w:p w14:paraId="1A5B5967" w14:textId="6EDC2AF0" w:rsidR="00396207" w:rsidRPr="00396207" w:rsidRDefault="00396207" w:rsidP="005E13BD">
      <w:pPr>
        <w:pStyle w:val="Akapitzlist"/>
        <w:numPr>
          <w:ilvl w:val="0"/>
          <w:numId w:val="36"/>
        </w:numPr>
        <w:spacing w:line="276" w:lineRule="auto"/>
        <w:rPr>
          <w:rFonts w:asciiTheme="majorHAnsi" w:hAnsiTheme="majorHAnsi" w:cstheme="majorHAnsi"/>
          <w:sz w:val="20"/>
          <w:szCs w:val="20"/>
        </w:rPr>
      </w:pPr>
      <w:r w:rsidRPr="00396207">
        <w:rPr>
          <w:rFonts w:asciiTheme="majorHAnsi" w:hAnsiTheme="majorHAnsi" w:cstheme="majorHAnsi"/>
          <w:sz w:val="20"/>
          <w:szCs w:val="20"/>
        </w:rPr>
        <w:t>Zamawiający nie przewiduje rozliczenia w walutach obcych.</w:t>
      </w:r>
    </w:p>
    <w:p w14:paraId="21ECDC49" w14:textId="77777777" w:rsidR="00E8086A" w:rsidRPr="00E17F2E" w:rsidRDefault="00475975" w:rsidP="005E13BD">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6CB93BF" w14:textId="7C01A96A" w:rsidR="00D5453D" w:rsidRPr="00E17F2E" w:rsidRDefault="00D5453D" w:rsidP="00D5453D">
      <w:pPr>
        <w:spacing w:before="240" w:after="200" w:line="276" w:lineRule="auto"/>
        <w:jc w:val="both"/>
        <w:rPr>
          <w:rFonts w:asciiTheme="majorHAnsi" w:hAnsiTheme="majorHAnsi" w:cstheme="majorHAnsi"/>
          <w:sz w:val="20"/>
          <w:szCs w:val="20"/>
        </w:rPr>
      </w:pPr>
      <w:r w:rsidRPr="00E17F2E">
        <w:rPr>
          <w:rFonts w:asciiTheme="majorHAnsi" w:hAnsiTheme="majorHAnsi" w:cstheme="majorHAnsi"/>
          <w:sz w:val="20"/>
          <w:szCs w:val="20"/>
        </w:rPr>
        <w:t>Zamawiający wyznacza termin wykonania zamówienia (umowy)</w:t>
      </w:r>
      <w:r w:rsidR="007D16B3">
        <w:rPr>
          <w:rFonts w:asciiTheme="majorHAnsi" w:hAnsiTheme="majorHAnsi" w:cstheme="majorHAnsi"/>
          <w:sz w:val="20"/>
          <w:szCs w:val="20"/>
        </w:rPr>
        <w:t xml:space="preserve"> dla części 1-</w:t>
      </w:r>
      <w:r w:rsidR="00396207">
        <w:rPr>
          <w:rFonts w:asciiTheme="majorHAnsi" w:hAnsiTheme="majorHAnsi" w:cstheme="majorHAnsi"/>
          <w:sz w:val="20"/>
          <w:szCs w:val="20"/>
        </w:rPr>
        <w:t>2</w:t>
      </w:r>
      <w:r w:rsidRPr="00E17F2E">
        <w:rPr>
          <w:rFonts w:asciiTheme="majorHAnsi" w:hAnsiTheme="majorHAnsi" w:cstheme="majorHAnsi"/>
          <w:sz w:val="20"/>
          <w:szCs w:val="20"/>
        </w:rPr>
        <w:t xml:space="preserve">: </w:t>
      </w:r>
      <w:r w:rsidR="00396207" w:rsidRPr="00396207">
        <w:rPr>
          <w:rFonts w:asciiTheme="majorHAnsi" w:hAnsiTheme="majorHAnsi" w:cstheme="majorHAnsi"/>
          <w:b/>
          <w:bCs/>
          <w:sz w:val="20"/>
          <w:szCs w:val="20"/>
          <w:u w:val="single"/>
        </w:rPr>
        <w:t>od 7</w:t>
      </w:r>
      <w:r w:rsidR="00396207" w:rsidRPr="00396207">
        <w:rPr>
          <w:rFonts w:asciiTheme="majorHAnsi" w:hAnsiTheme="majorHAnsi" w:cstheme="majorHAnsi"/>
          <w:sz w:val="20"/>
          <w:szCs w:val="20"/>
          <w:u w:val="single"/>
        </w:rPr>
        <w:t xml:space="preserve"> </w:t>
      </w:r>
      <w:r w:rsidR="009A36E4" w:rsidRPr="00396207">
        <w:rPr>
          <w:rFonts w:asciiTheme="majorHAnsi" w:hAnsiTheme="majorHAnsi" w:cstheme="majorHAnsi"/>
          <w:b/>
          <w:sz w:val="20"/>
          <w:szCs w:val="20"/>
          <w:u w:val="single"/>
        </w:rPr>
        <w:t xml:space="preserve"> </w:t>
      </w:r>
      <w:r w:rsidR="009A36E4" w:rsidRPr="00E17F2E">
        <w:rPr>
          <w:rFonts w:asciiTheme="majorHAnsi" w:hAnsiTheme="majorHAnsi" w:cstheme="majorHAnsi"/>
          <w:b/>
          <w:sz w:val="20"/>
          <w:szCs w:val="20"/>
          <w:u w:val="single"/>
        </w:rPr>
        <w:t>do 1</w:t>
      </w:r>
      <w:r w:rsidR="00396207">
        <w:rPr>
          <w:rFonts w:asciiTheme="majorHAnsi" w:hAnsiTheme="majorHAnsi" w:cstheme="majorHAnsi"/>
          <w:b/>
          <w:sz w:val="20"/>
          <w:szCs w:val="20"/>
          <w:u w:val="single"/>
        </w:rPr>
        <w:t>4</w:t>
      </w:r>
      <w:r w:rsidRPr="00E17F2E">
        <w:rPr>
          <w:rFonts w:asciiTheme="majorHAnsi" w:hAnsiTheme="majorHAnsi" w:cstheme="majorHAnsi"/>
          <w:b/>
          <w:sz w:val="20"/>
          <w:szCs w:val="20"/>
          <w:u w:val="single"/>
        </w:rPr>
        <w:t xml:space="preserve"> dni </w:t>
      </w:r>
      <w:r w:rsidR="00396207">
        <w:rPr>
          <w:rFonts w:asciiTheme="majorHAnsi" w:hAnsiTheme="majorHAnsi" w:cstheme="majorHAnsi"/>
          <w:b/>
          <w:sz w:val="20"/>
          <w:szCs w:val="20"/>
          <w:u w:val="single"/>
        </w:rPr>
        <w:t>kalendarzowych</w:t>
      </w:r>
      <w:r w:rsidR="009A36E4" w:rsidRPr="00E17F2E">
        <w:rPr>
          <w:rFonts w:asciiTheme="majorHAnsi" w:hAnsiTheme="majorHAnsi" w:cstheme="majorHAnsi"/>
          <w:b/>
          <w:sz w:val="20"/>
          <w:szCs w:val="20"/>
          <w:u w:val="single"/>
        </w:rPr>
        <w:t>, licząc od</w:t>
      </w:r>
      <w:r w:rsidRPr="00E17F2E">
        <w:rPr>
          <w:rFonts w:asciiTheme="majorHAnsi" w:hAnsiTheme="majorHAnsi" w:cstheme="majorHAnsi"/>
          <w:b/>
          <w:sz w:val="20"/>
          <w:szCs w:val="20"/>
          <w:u w:val="single"/>
        </w:rPr>
        <w:t xml:space="preserve"> dnia </w:t>
      </w:r>
      <w:r w:rsidR="004926FD">
        <w:rPr>
          <w:rFonts w:asciiTheme="majorHAnsi" w:hAnsiTheme="majorHAnsi" w:cstheme="majorHAnsi"/>
          <w:b/>
          <w:sz w:val="20"/>
          <w:szCs w:val="20"/>
          <w:u w:val="single"/>
        </w:rPr>
        <w:t>podpisania</w:t>
      </w:r>
      <w:r w:rsidRPr="00E17F2E">
        <w:rPr>
          <w:rFonts w:asciiTheme="majorHAnsi" w:hAnsiTheme="majorHAnsi" w:cstheme="majorHAnsi"/>
          <w:b/>
          <w:sz w:val="20"/>
          <w:szCs w:val="20"/>
          <w:u w:val="single"/>
        </w:rPr>
        <w:t xml:space="preserve"> umowy.</w:t>
      </w:r>
      <w:r w:rsidRPr="00E17F2E">
        <w:rPr>
          <w:rFonts w:asciiTheme="majorHAnsi" w:hAnsiTheme="majorHAnsi" w:cstheme="majorHAnsi"/>
          <w:sz w:val="20"/>
          <w:szCs w:val="20"/>
        </w:rPr>
        <w:t xml:space="preserve"> </w:t>
      </w:r>
    </w:p>
    <w:p w14:paraId="1AEFB4D8" w14:textId="4A55E64B" w:rsidR="00D5453D" w:rsidRPr="00E17F2E" w:rsidRDefault="00D5453D" w:rsidP="00D5453D">
      <w:pPr>
        <w:spacing w:before="240" w:after="200" w:line="276" w:lineRule="auto"/>
        <w:jc w:val="both"/>
        <w:rPr>
          <w:rFonts w:asciiTheme="majorHAnsi" w:hAnsiTheme="majorHAnsi" w:cstheme="majorHAnsi"/>
          <w:color w:val="000000"/>
          <w:sz w:val="20"/>
          <w:szCs w:val="20"/>
        </w:rPr>
      </w:pPr>
      <w:r w:rsidRPr="00E17F2E">
        <w:rPr>
          <w:rFonts w:asciiTheme="majorHAnsi" w:hAnsiTheme="majorHAnsi" w:cstheme="majorHAnsi"/>
          <w:b/>
          <w:sz w:val="20"/>
          <w:szCs w:val="20"/>
          <w:u w:val="single"/>
        </w:rPr>
        <w:t>Uwaga:</w:t>
      </w:r>
      <w:r w:rsidRPr="00E17F2E">
        <w:rPr>
          <w:rFonts w:asciiTheme="majorHAnsi" w:hAnsiTheme="majorHAnsi" w:cstheme="majorHAnsi"/>
          <w:sz w:val="20"/>
          <w:szCs w:val="20"/>
        </w:rPr>
        <w:t xml:space="preserve"> termin</w:t>
      </w:r>
      <w:r w:rsidR="00C67A17">
        <w:rPr>
          <w:rFonts w:asciiTheme="majorHAnsi" w:hAnsiTheme="majorHAnsi" w:cstheme="majorHAnsi"/>
          <w:sz w:val="20"/>
          <w:szCs w:val="20"/>
        </w:rPr>
        <w:t xml:space="preserve"> realizacji</w:t>
      </w:r>
      <w:r w:rsidRPr="00E17F2E">
        <w:rPr>
          <w:rFonts w:asciiTheme="majorHAnsi" w:hAnsiTheme="majorHAnsi" w:cstheme="majorHAnsi"/>
          <w:sz w:val="20"/>
          <w:szCs w:val="20"/>
        </w:rPr>
        <w:t xml:space="preserve"> zamówienia jest jednym z kryteriów oceny ofert. Szczegółowe informacje zawiera rozdział X</w:t>
      </w:r>
      <w:r w:rsidR="004151BB" w:rsidRPr="00E17F2E">
        <w:rPr>
          <w:rFonts w:asciiTheme="majorHAnsi" w:hAnsiTheme="majorHAnsi" w:cstheme="majorHAnsi"/>
          <w:sz w:val="20"/>
          <w:szCs w:val="20"/>
        </w:rPr>
        <w:t>VII</w:t>
      </w:r>
      <w:r w:rsidRPr="00E17F2E">
        <w:rPr>
          <w:rFonts w:asciiTheme="majorHAnsi" w:hAnsiTheme="majorHAnsi" w:cstheme="majorHAnsi"/>
          <w:sz w:val="20"/>
          <w:szCs w:val="20"/>
        </w:rPr>
        <w:t xml:space="preserve"> SWZ.</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43152E">
      <w:pPr>
        <w:pStyle w:val="pkt"/>
        <w:spacing w:before="240" w:after="0"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lastRenderedPageBreak/>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43152E">
      <w:pPr>
        <w:pStyle w:val="pkt"/>
        <w:spacing w:before="0" w:after="0"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9A36E4">
      <w:pPr>
        <w:pStyle w:val="Teksttreci0"/>
        <w:shd w:val="clear" w:color="auto" w:fill="auto"/>
        <w:spacing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9A36E4">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Z postępowania o udzielenie zamówienia Zamawiający wykluczy Wykonawcę, w stosunku do którego zachodzi którakolwiek z okoliczności, o których mowa w art. 108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7D04FED7"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28231D">
      <w:pPr>
        <w:numPr>
          <w:ilvl w:val="0"/>
          <w:numId w:val="21"/>
        </w:numPr>
        <w:spacing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 xml:space="preserve">w art. 109 ust. 1 pkt. 4,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tj.:</w:t>
      </w:r>
    </w:p>
    <w:p w14:paraId="07C0D70F" w14:textId="77777777" w:rsidR="00917DBD" w:rsidRPr="00E17F2E" w:rsidRDefault="00917DBD" w:rsidP="0028231D">
      <w:pPr>
        <w:numPr>
          <w:ilvl w:val="0"/>
          <w:numId w:val="12"/>
        </w:numPr>
        <w:spacing w:before="60" w:after="60"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051B755E" w14:textId="77777777" w:rsidR="00917DBD" w:rsidRPr="00E17F2E" w:rsidRDefault="00917DBD"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28231D">
      <w:pPr>
        <w:numPr>
          <w:ilvl w:val="2"/>
          <w:numId w:val="22"/>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00917DBD" w:rsidRPr="00E17F2E">
        <w:rPr>
          <w:rFonts w:asciiTheme="majorHAnsi" w:hAnsiTheme="majorHAnsi" w:cstheme="majorHAnsi"/>
          <w:sz w:val="20"/>
          <w:szCs w:val="20"/>
        </w:rPr>
        <w:lastRenderedPageBreak/>
        <w:t>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28231D">
      <w:pPr>
        <w:numPr>
          <w:ilvl w:val="1"/>
          <w:numId w:val="23"/>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77777777" w:rsidR="00917DBD" w:rsidRPr="00E17F2E" w:rsidRDefault="00917DBD" w:rsidP="0028231D">
      <w:pPr>
        <w:numPr>
          <w:ilvl w:val="0"/>
          <w:numId w:val="20"/>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Wykluczenie Wykonawcy następuje zgodnie z art. 111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608EB338" w14:textId="21D76A5F"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 xml:space="preserve">PODMIOTOWE 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p>
    <w:p w14:paraId="5D7E4B7A" w14:textId="2BF0C1DF" w:rsidR="00807E8C" w:rsidRPr="00E17F2E" w:rsidRDefault="00807E8C" w:rsidP="0028231D">
      <w:pPr>
        <w:numPr>
          <w:ilvl w:val="0"/>
          <w:numId w:val="24"/>
        </w:numPr>
        <w:spacing w:before="24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a i 3b</w:t>
      </w:r>
      <w:r w:rsidRPr="00E17F2E">
        <w:rPr>
          <w:rFonts w:asciiTheme="majorHAnsi" w:hAnsiTheme="majorHAnsi" w:cstheme="majorHAnsi"/>
          <w:b/>
          <w:sz w:val="20"/>
          <w:szCs w:val="20"/>
        </w:rPr>
        <w:t xml:space="preserve"> do SWZ.</w:t>
      </w:r>
    </w:p>
    <w:p w14:paraId="512262E2"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28231D">
      <w:pPr>
        <w:numPr>
          <w:ilvl w:val="0"/>
          <w:numId w:val="24"/>
        </w:numPr>
        <w:spacing w:line="360"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0669748E" w:rsidR="006B72B8" w:rsidRPr="00E17F2E" w:rsidRDefault="006B72B8"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p>
    <w:p w14:paraId="3C4A18CD" w14:textId="77777777" w:rsidR="006B72B8" w:rsidRPr="00E17F2E" w:rsidRDefault="006B72B8"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lastRenderedPageBreak/>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1ADA7CA2" w14:textId="5209FC08" w:rsidR="006B72B8" w:rsidRPr="00E17F2E" w:rsidRDefault="00C42845" w:rsidP="0028231D">
      <w:pPr>
        <w:pStyle w:val="Akapitzlist"/>
        <w:numPr>
          <w:ilvl w:val="0"/>
          <w:numId w:val="31"/>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E17F2E">
        <w:rPr>
          <w:rFonts w:asciiTheme="majorHAnsi" w:hAnsiTheme="majorHAnsi" w:cstheme="majorHAnsi"/>
          <w:b/>
          <w:sz w:val="20"/>
          <w:szCs w:val="20"/>
        </w:rPr>
        <w:t>Załącznik nr 3c.</w:t>
      </w:r>
    </w:p>
    <w:p w14:paraId="4AEC1A42" w14:textId="77777777" w:rsidR="003D1E47" w:rsidRPr="00E17F2E" w:rsidRDefault="003D1E47" w:rsidP="003D1E47">
      <w:pPr>
        <w:pStyle w:val="Akapitzlist"/>
        <w:spacing w:line="276" w:lineRule="auto"/>
        <w:ind w:left="786"/>
        <w:contextualSpacing/>
        <w:jc w:val="both"/>
        <w:rPr>
          <w:rFonts w:asciiTheme="majorHAnsi" w:hAnsiTheme="majorHAnsi" w:cstheme="majorHAnsi"/>
          <w:sz w:val="20"/>
          <w:szCs w:val="20"/>
        </w:rPr>
      </w:pPr>
    </w:p>
    <w:p w14:paraId="5EB833C9"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24506021" w:rsidR="00BA4494"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E17F2E">
        <w:rPr>
          <w:rFonts w:asciiTheme="majorHAnsi" w:hAnsiTheme="majorHAnsi" w:cstheme="majorHAnsi"/>
          <w:sz w:val="20"/>
          <w:szCs w:val="20"/>
        </w:rPr>
        <w:t>Z</w:t>
      </w:r>
      <w:r w:rsidRPr="00E17F2E">
        <w:rPr>
          <w:rFonts w:asciiTheme="majorHAnsi" w:hAnsiTheme="majorHAnsi" w:cstheme="majorHAnsi"/>
          <w:sz w:val="20"/>
          <w:szCs w:val="20"/>
        </w:rPr>
        <w:t>ałącznik nr 1.</w:t>
      </w:r>
    </w:p>
    <w:p w14:paraId="3A848A56" w14:textId="49D999FF" w:rsidR="00BA4494" w:rsidRPr="00E17F2E" w:rsidRDefault="00BA4494"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Formularz cenowy</w:t>
      </w:r>
      <w:r w:rsidRPr="00E17F2E">
        <w:rPr>
          <w:rFonts w:asciiTheme="majorHAnsi" w:hAnsiTheme="majorHAnsi" w:cstheme="majorHAnsi"/>
          <w:sz w:val="20"/>
          <w:szCs w:val="20"/>
        </w:rPr>
        <w:t xml:space="preserve"> – Załącznik nr 2</w:t>
      </w:r>
    </w:p>
    <w:p w14:paraId="3BF59884" w14:textId="0DF8ECDC" w:rsidR="001E6F4D" w:rsidRPr="00E17F2E" w:rsidRDefault="001E6F4D" w:rsidP="0028231D">
      <w:pPr>
        <w:pStyle w:val="Akapitzlist"/>
        <w:numPr>
          <w:ilvl w:val="0"/>
          <w:numId w:val="24"/>
        </w:numPr>
        <w:spacing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p>
    <w:p w14:paraId="4642512D" w14:textId="3E874746"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w:t>
      </w:r>
      <w:r w:rsidR="00AA4E33" w:rsidRPr="00AA4E33">
        <w:t xml:space="preserve"> </w:t>
      </w:r>
      <w:r w:rsidR="00AA4E33" w:rsidRPr="00AA4E33">
        <w:rPr>
          <w:rFonts w:asciiTheme="majorHAnsi" w:hAnsiTheme="majorHAnsi" w:cstheme="majorHAnsi"/>
          <w:sz w:val="20"/>
          <w:szCs w:val="20"/>
        </w:rPr>
        <w:t>lub miejsce zamieszkania ma osoba, której dotyczy informacja albo dokument</w:t>
      </w:r>
      <w:r w:rsidRPr="00E17F2E">
        <w:rPr>
          <w:rFonts w:asciiTheme="majorHAnsi" w:hAnsiTheme="majorHAnsi" w:cstheme="majorHAnsi"/>
          <w:sz w:val="20"/>
          <w:szCs w:val="20"/>
        </w:rPr>
        <w:t xml:space="preserve"> zamiast dokumentu, o który</w:t>
      </w:r>
      <w:r w:rsidR="00AA4E33">
        <w:rPr>
          <w:rFonts w:asciiTheme="majorHAnsi" w:hAnsiTheme="majorHAnsi" w:cstheme="majorHAnsi"/>
          <w:sz w:val="20"/>
          <w:szCs w:val="20"/>
        </w:rPr>
        <w:t>m</w:t>
      </w:r>
      <w:r w:rsidRPr="00E17F2E">
        <w:rPr>
          <w:rFonts w:asciiTheme="majorHAnsi" w:hAnsiTheme="majorHAnsi" w:cstheme="majorHAnsi"/>
          <w:sz w:val="20"/>
          <w:szCs w:val="20"/>
        </w:rPr>
        <w:t xml:space="preserve">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1C8A05C4"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Jeżeli w kraju, w którym Wykonawca ma siedzibę lub miejsce zamieszkania, </w:t>
      </w:r>
      <w:r w:rsidR="00AA4E33" w:rsidRPr="00AA4E33">
        <w:rPr>
          <w:rFonts w:asciiTheme="majorHAnsi" w:hAnsiTheme="majorHAnsi" w:cstheme="majorHAnsi"/>
          <w:sz w:val="20"/>
          <w:szCs w:val="20"/>
        </w:rPr>
        <w:t>lub miejsce zamieszkania ma osoba, której dotyczy informacja albo dokument</w:t>
      </w:r>
      <w:r w:rsidR="00AA4E33">
        <w:rPr>
          <w:rFonts w:asciiTheme="majorHAnsi" w:hAnsiTheme="majorHAnsi" w:cstheme="majorHAnsi"/>
          <w:sz w:val="20"/>
          <w:szCs w:val="20"/>
        </w:rPr>
        <w:t>,</w:t>
      </w:r>
      <w:r w:rsidR="00AA4E33" w:rsidRPr="00AA4E33">
        <w:rPr>
          <w:rFonts w:asciiTheme="majorHAnsi" w:hAnsiTheme="majorHAnsi" w:cstheme="majorHAnsi"/>
          <w:sz w:val="20"/>
          <w:szCs w:val="20"/>
        </w:rPr>
        <w:t xml:space="preserve"> </w:t>
      </w:r>
      <w:r w:rsidRPr="00E17F2E">
        <w:rPr>
          <w:rFonts w:asciiTheme="majorHAnsi" w:hAnsiTheme="majorHAnsi" w:cstheme="majorHAnsi"/>
          <w:sz w:val="20"/>
          <w:szCs w:val="20"/>
        </w:rPr>
        <w:t>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28231D">
      <w:pPr>
        <w:numPr>
          <w:ilvl w:val="0"/>
          <w:numId w:val="24"/>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dane umożliwiające dostęp do tych środków;</w:t>
      </w:r>
    </w:p>
    <w:p w14:paraId="718A4BD7"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28231D">
      <w:pPr>
        <w:numPr>
          <w:ilvl w:val="0"/>
          <w:numId w:val="24"/>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28231D">
      <w:pPr>
        <w:numPr>
          <w:ilvl w:val="0"/>
          <w:numId w:val="24"/>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W zakresie nieuregulowanym ustawą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BF0B74">
      <w:pPr>
        <w:spacing w:line="276" w:lineRule="auto"/>
        <w:jc w:val="both"/>
        <w:rPr>
          <w:rFonts w:asciiTheme="majorHAnsi" w:hAnsiTheme="majorHAnsi" w:cstheme="majorHAnsi"/>
          <w:b/>
          <w:bCs/>
          <w:sz w:val="20"/>
          <w:szCs w:val="20"/>
        </w:rPr>
      </w:pPr>
      <w:r w:rsidRPr="008650AF">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1D88BD40" w14:textId="48D2F9AD" w:rsidR="00054F6A" w:rsidRPr="00BF0B74" w:rsidRDefault="00BF0B74" w:rsidP="00BF0B74">
      <w:pPr>
        <w:spacing w:line="276" w:lineRule="auto"/>
        <w:ind w:left="342" w:firstLine="57"/>
        <w:jc w:val="both"/>
        <w:rPr>
          <w:rFonts w:asciiTheme="majorHAnsi" w:hAnsiTheme="majorHAnsi" w:cstheme="majorHAnsi"/>
          <w:sz w:val="20"/>
          <w:szCs w:val="20"/>
          <w:highlight w:val="yellow"/>
        </w:rPr>
      </w:pPr>
      <w:r w:rsidRPr="00BF0B74">
        <w:rPr>
          <w:rFonts w:asciiTheme="majorHAnsi" w:hAnsiTheme="majorHAnsi" w:cstheme="majorHAnsi"/>
          <w:sz w:val="20"/>
          <w:szCs w:val="20"/>
        </w:rPr>
        <w:t>Zamawiający  nie żąda złożenia przedmiotowych środków dowodowych.</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b/>
          <w:i/>
          <w:sz w:val="20"/>
        </w:rPr>
        <w:lastRenderedPageBreak/>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4495458" w14:textId="0426BADB" w:rsidR="003B6CDF" w:rsidRPr="00E17F2E" w:rsidRDefault="00D425B2" w:rsidP="0028231D">
      <w:pPr>
        <w:pStyle w:val="pkt"/>
        <w:numPr>
          <w:ilvl w:val="0"/>
          <w:numId w:val="25"/>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CDB1768" w14:textId="77777777" w:rsidR="004642F2" w:rsidRPr="00E17F2E" w:rsidRDefault="004642F2" w:rsidP="004642F2">
      <w:pPr>
        <w:pStyle w:val="pkt"/>
        <w:spacing w:before="240" w:after="0" w:line="276" w:lineRule="auto"/>
        <w:ind w:left="284" w:firstLine="0"/>
        <w:rPr>
          <w:rFonts w:asciiTheme="majorHAnsi" w:hAnsiTheme="majorHAnsi" w:cstheme="majorHAnsi"/>
          <w:sz w:val="20"/>
        </w:rPr>
      </w:pPr>
    </w:p>
    <w:p w14:paraId="7C357E25" w14:textId="77777777" w:rsidR="00D425B2" w:rsidRPr="00E17F2E" w:rsidRDefault="00D425B2" w:rsidP="00D425B2">
      <w:pPr>
        <w:spacing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D425B2">
      <w:pPr>
        <w:spacing w:line="276" w:lineRule="auto"/>
        <w:ind w:right="20"/>
        <w:jc w:val="both"/>
        <w:rPr>
          <w:rFonts w:asciiTheme="majorHAnsi" w:hAnsiTheme="majorHAnsi" w:cstheme="majorHAnsi"/>
          <w:sz w:val="20"/>
          <w:szCs w:val="20"/>
        </w:rPr>
      </w:pPr>
    </w:p>
    <w:p w14:paraId="36874454" w14:textId="77777777" w:rsidR="00A21039" w:rsidRPr="00E17F2E" w:rsidRDefault="00D425B2" w:rsidP="0028231D">
      <w:pPr>
        <w:pStyle w:val="Akapitzlist"/>
        <w:numPr>
          <w:ilvl w:val="0"/>
          <w:numId w:val="25"/>
        </w:numPr>
        <w:spacing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28231D">
      <w:pPr>
        <w:pStyle w:val="Akapitzlist"/>
        <w:numPr>
          <w:ilvl w:val="0"/>
          <w:numId w:val="26"/>
        </w:numPr>
        <w:tabs>
          <w:tab w:val="clear" w:pos="1009"/>
        </w:tabs>
        <w:spacing w:before="240"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3"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28231D">
      <w:pPr>
        <w:numPr>
          <w:ilvl w:val="0"/>
          <w:numId w:val="26"/>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77777777" w:rsidR="00474F8E" w:rsidRPr="00E17F2E" w:rsidRDefault="004D76A2" w:rsidP="0028231D">
      <w:pPr>
        <w:numPr>
          <w:ilvl w:val="0"/>
          <w:numId w:val="26"/>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3"/>
      <w:r w:rsidR="002076D2" w:rsidRPr="00E17F2E">
        <w:rPr>
          <w:rFonts w:asciiTheme="majorHAnsi" w:hAnsiTheme="majorHAnsi" w:cstheme="majorHAnsi"/>
          <w:b/>
          <w:bCs/>
          <w:sz w:val="20"/>
        </w:rPr>
        <w:t>WYJAŚNIENIA TREŚCI SWZ</w:t>
      </w:r>
    </w:p>
    <w:p w14:paraId="33E0104B" w14:textId="77777777" w:rsidR="004D76A2" w:rsidRPr="00E17F2E" w:rsidRDefault="004D76A2" w:rsidP="0028231D">
      <w:pPr>
        <w:pStyle w:val="Akapitzlist"/>
        <w:numPr>
          <w:ilvl w:val="1"/>
          <w:numId w:val="15"/>
        </w:numPr>
        <w:spacing w:before="240"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lastRenderedPageBreak/>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E17F2E">
        <w:rPr>
          <w:rFonts w:asciiTheme="majorHAnsi" w:hAnsiTheme="majorHAnsi" w:cstheme="majorHAnsi"/>
          <w:bCs/>
          <w:sz w:val="20"/>
          <w:szCs w:val="20"/>
        </w:rPr>
        <w:t>Pzp</w:t>
      </w:r>
      <w:proofErr w:type="spellEnd"/>
      <w:r w:rsidRPr="00E17F2E">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28231D">
      <w:pPr>
        <w:numPr>
          <w:ilvl w:val="1"/>
          <w:numId w:val="15"/>
        </w:numPr>
        <w:spacing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 xml:space="preserve">Ofertę, oświadczenia, o których mowa w art. 125 ust. 1 </w:t>
      </w:r>
      <w:proofErr w:type="spellStart"/>
      <w:r w:rsidRPr="00E17F2E">
        <w:rPr>
          <w:rFonts w:asciiTheme="majorHAnsi" w:hAnsiTheme="majorHAnsi" w:cstheme="majorHAnsi"/>
          <w:bCs/>
          <w:sz w:val="20"/>
          <w:szCs w:val="20"/>
        </w:rPr>
        <w:t>Pzp</w:t>
      </w:r>
      <w:proofErr w:type="spellEnd"/>
      <w:r w:rsidRPr="00E17F2E">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28231D">
      <w:pPr>
        <w:numPr>
          <w:ilvl w:val="1"/>
          <w:numId w:val="15"/>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28231D">
      <w:pPr>
        <w:numPr>
          <w:ilvl w:val="0"/>
          <w:numId w:val="17"/>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28231D">
      <w:pPr>
        <w:numPr>
          <w:ilvl w:val="0"/>
          <w:numId w:val="18"/>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7">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28231D">
      <w:pPr>
        <w:numPr>
          <w:ilvl w:val="0"/>
          <w:numId w:val="18"/>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8">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9">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28231D">
      <w:pPr>
        <w:numPr>
          <w:ilvl w:val="1"/>
          <w:numId w:val="15"/>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t>
      </w:r>
      <w:r w:rsidR="004D76A2" w:rsidRPr="00E17F2E">
        <w:rPr>
          <w:rFonts w:asciiTheme="majorHAnsi" w:hAnsiTheme="majorHAnsi" w:cstheme="majorHAnsi"/>
          <w:sz w:val="20"/>
          <w:szCs w:val="20"/>
        </w:rPr>
        <w:lastRenderedPageBreak/>
        <w:t xml:space="preserve">w niniejszym postępowaniu przy użyciu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2">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28231D">
      <w:pPr>
        <w:numPr>
          <w:ilvl w:val="1"/>
          <w:numId w:val="15"/>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62022132" w14:textId="584724A4" w:rsidR="004D76A2" w:rsidRPr="00E17F2E" w:rsidRDefault="004D76A2" w:rsidP="0028231D">
      <w:pPr>
        <w:numPr>
          <w:ilvl w:val="0"/>
          <w:numId w:val="16"/>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w sprawach merytorycznych:</w:t>
      </w:r>
      <w:r w:rsidRPr="00E17F2E">
        <w:rPr>
          <w:rFonts w:asciiTheme="majorHAnsi" w:hAnsiTheme="majorHAnsi" w:cstheme="majorHAnsi"/>
          <w:b/>
          <w:bCs/>
          <w:sz w:val="20"/>
          <w:szCs w:val="20"/>
        </w:rPr>
        <w:t xml:space="preserve"> </w:t>
      </w:r>
      <w:r w:rsidR="00361930">
        <w:rPr>
          <w:rFonts w:asciiTheme="majorHAnsi" w:hAnsiTheme="majorHAnsi" w:cstheme="majorHAnsi"/>
          <w:b/>
          <w:bCs/>
          <w:sz w:val="20"/>
          <w:szCs w:val="20"/>
        </w:rPr>
        <w:t>mgr Magdalena Szymańska</w:t>
      </w:r>
    </w:p>
    <w:p w14:paraId="06C0645E" w14:textId="77777777" w:rsidR="004D76A2" w:rsidRPr="00E17F2E" w:rsidRDefault="004D76A2" w:rsidP="0028231D">
      <w:pPr>
        <w:numPr>
          <w:ilvl w:val="0"/>
          <w:numId w:val="16"/>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77777777" w:rsidR="003E5732" w:rsidRPr="00E17F2E" w:rsidRDefault="003E5732" w:rsidP="0005429C">
      <w:pPr>
        <w:shd w:val="clear" w:color="auto" w:fill="FFFFFF"/>
        <w:spacing w:before="100" w:beforeAutospacing="1" w:after="100" w:afterAutospacing="1"/>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w:t>
      </w:r>
      <w:proofErr w:type="spellStart"/>
      <w:r w:rsidR="004D76A2" w:rsidRPr="00E17F2E">
        <w:rPr>
          <w:rFonts w:asciiTheme="majorHAnsi" w:hAnsiTheme="majorHAnsi" w:cstheme="majorHAnsi"/>
          <w:sz w:val="20"/>
          <w:szCs w:val="20"/>
        </w:rPr>
        <w:t>Pzp</w:t>
      </w:r>
      <w:proofErr w:type="spellEnd"/>
      <w:r w:rsidR="004D76A2" w:rsidRPr="00E17F2E">
        <w:rPr>
          <w:rFonts w:asciiTheme="majorHAnsi" w:hAnsiTheme="majorHAnsi" w:cstheme="majorHAnsi"/>
          <w:sz w:val="20"/>
          <w:szCs w:val="20"/>
        </w:rPr>
        <w:t xml:space="preserve"> postępowanie o udzielenie zamówienia, z zastrzeżeniem wyjątków przewidzianych w </w:t>
      </w:r>
      <w:proofErr w:type="spellStart"/>
      <w:r w:rsidR="004D76A2" w:rsidRPr="00E17F2E">
        <w:rPr>
          <w:rFonts w:asciiTheme="majorHAnsi" w:hAnsiTheme="majorHAnsi" w:cstheme="majorHAnsi"/>
          <w:sz w:val="20"/>
          <w:szCs w:val="20"/>
        </w:rPr>
        <w:t>Pzp</w:t>
      </w:r>
      <w:proofErr w:type="spellEnd"/>
      <w:r w:rsidR="004D76A2" w:rsidRPr="00E17F2E">
        <w:rPr>
          <w:rFonts w:asciiTheme="majorHAnsi" w:hAnsiTheme="majorHAnsi" w:cstheme="majorHAnsi"/>
          <w:sz w:val="20"/>
          <w:szCs w:val="20"/>
        </w:rPr>
        <w:t xml:space="preserve">, prowadzi się pisemnie. </w:t>
      </w:r>
    </w:p>
    <w:p w14:paraId="625C2F75" w14:textId="77777777" w:rsidR="004D76A2" w:rsidRPr="00E17F2E" w:rsidRDefault="004D76A2"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odbywa się przy użyciu środków komunikacji elektronicznej szczegółowo opisanych w pkt XI SWZ. </w:t>
      </w:r>
    </w:p>
    <w:p w14:paraId="0595812F" w14:textId="77777777" w:rsidR="00C972B6" w:rsidRPr="00E17F2E" w:rsidRDefault="0068413A" w:rsidP="0028231D">
      <w:pPr>
        <w:pStyle w:val="Akapitzlist"/>
        <w:numPr>
          <w:ilvl w:val="1"/>
          <w:numId w:val="15"/>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4"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4"/>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4D76A2">
      <w:pPr>
        <w:spacing w:before="240"/>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28231D">
      <w:pPr>
        <w:numPr>
          <w:ilvl w:val="0"/>
          <w:numId w:val="27"/>
        </w:numPr>
        <w:tabs>
          <w:tab w:val="left" w:pos="284"/>
          <w:tab w:val="left" w:pos="709"/>
        </w:tabs>
        <w:spacing w:before="24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28231D">
      <w:pPr>
        <w:numPr>
          <w:ilvl w:val="0"/>
          <w:numId w:val="27"/>
        </w:numPr>
        <w:tabs>
          <w:tab w:val="left" w:pos="284"/>
        </w:tabs>
        <w:spacing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77777777" w:rsidR="004D76A2" w:rsidRPr="00E17F2E" w:rsidRDefault="004D76A2" w:rsidP="0028231D">
      <w:pPr>
        <w:numPr>
          <w:ilvl w:val="0"/>
          <w:numId w:val="27"/>
        </w:numPr>
        <w:tabs>
          <w:tab w:val="left" w:pos="142"/>
          <w:tab w:val="left" w:pos="284"/>
        </w:tabs>
        <w:spacing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Pr="00E17F2E">
        <w:rPr>
          <w:rFonts w:asciiTheme="majorHAnsi" w:hAnsiTheme="majorHAnsi" w:cstheme="majorHAnsi"/>
          <w:sz w:val="20"/>
          <w:szCs w:val="20"/>
        </w:rPr>
        <w:t>. Wraz z ofertą Wykonawca jest zobowiązany złożyć:</w:t>
      </w:r>
    </w:p>
    <w:p w14:paraId="0615AF7B" w14:textId="70F8FA11" w:rsidR="001A6218"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p>
    <w:p w14:paraId="08F9A4D4" w14:textId="77777777" w:rsidR="004D76A2"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zobowiązanie innego podmiotu, o którym mowa w Rozdziale </w:t>
      </w:r>
      <w:r w:rsidR="008B5148" w:rsidRPr="00E17F2E">
        <w:rPr>
          <w:rFonts w:asciiTheme="majorHAnsi" w:hAnsiTheme="majorHAnsi" w:cstheme="majorHAnsi"/>
          <w:sz w:val="20"/>
          <w:szCs w:val="20"/>
        </w:rPr>
        <w:t>IX</w:t>
      </w:r>
      <w:r w:rsidRPr="00E17F2E">
        <w:rPr>
          <w:rFonts w:asciiTheme="majorHAnsi" w:hAnsiTheme="majorHAnsi" w:cstheme="majorHAnsi"/>
          <w:sz w:val="20"/>
          <w:szCs w:val="20"/>
        </w:rPr>
        <w:t xml:space="preserve"> ust. 3 SWZ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6C3513C2" w14:textId="77777777" w:rsidR="004D76A2" w:rsidRPr="00E17F2E" w:rsidRDefault="004D76A2" w:rsidP="0028231D">
      <w:pPr>
        <w:numPr>
          <w:ilvl w:val="0"/>
          <w:numId w:val="28"/>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4B43E2E6" w14:textId="77777777" w:rsidR="004D76A2" w:rsidRPr="00E17F2E" w:rsidRDefault="004D76A2" w:rsidP="0028231D">
      <w:pPr>
        <w:pStyle w:val="Akapitzlist"/>
        <w:numPr>
          <w:ilvl w:val="0"/>
          <w:numId w:val="27"/>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w:t>
      </w:r>
    </w:p>
    <w:p w14:paraId="661B46E6"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28231D">
      <w:pPr>
        <w:pStyle w:val="Akapitzlist"/>
        <w:numPr>
          <w:ilvl w:val="0"/>
          <w:numId w:val="27"/>
        </w:numPr>
        <w:tabs>
          <w:tab w:val="clear" w:pos="1706"/>
          <w:tab w:val="num" w:pos="284"/>
        </w:tabs>
        <w:spacing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4D76A2">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7A0AC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77777777" w:rsidR="007A0AC2" w:rsidRPr="00E17F2E" w:rsidRDefault="00475975" w:rsidP="007A0AC2">
      <w:pPr>
        <w:pStyle w:val="ust"/>
        <w:spacing w:before="0" w:after="0" w:line="276" w:lineRule="auto"/>
        <w:ind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  tabeli w Formularzu Cenowym,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p>
    <w:p w14:paraId="6BE16665" w14:textId="057BB229" w:rsidR="00961E1D"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4D76A2">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43EBEF98" w14:textId="77777777" w:rsidR="00DF7BB6" w:rsidRPr="00E17F2E" w:rsidRDefault="007A0AC2" w:rsidP="004D76A2">
      <w:pPr>
        <w:pStyle w:val="pkt"/>
        <w:spacing w:before="0" w:after="0" w:line="276" w:lineRule="auto"/>
        <w:ind w:left="426" w:hanging="426"/>
        <w:rPr>
          <w:rFonts w:asciiTheme="majorHAnsi" w:hAnsiTheme="majorHAnsi" w:cstheme="majorHAnsi"/>
          <w:b/>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Jeżeli w postępowaniu złożona będzie oferta, której wybór prowadziłby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zgodnie z przepisami o podatku od towarów i usług,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że wybór jego oferty będzie prowadzić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w:t>
      </w:r>
      <w:r w:rsidR="00EF3736" w:rsidRPr="00E17F2E">
        <w:rPr>
          <w:rFonts w:asciiTheme="majorHAnsi" w:hAnsiTheme="majorHAnsi" w:cstheme="majorHAnsi"/>
          <w:sz w:val="20"/>
        </w:rPr>
        <w:t xml:space="preserve">wskazując nazwę (rodzaj) towaru lub usługi, których dostawa lub świadczenie  będzie </w:t>
      </w:r>
      <w:r w:rsidR="0004303A" w:rsidRPr="00E17F2E">
        <w:rPr>
          <w:rFonts w:asciiTheme="majorHAnsi" w:hAnsiTheme="majorHAnsi" w:cstheme="majorHAnsi"/>
          <w:sz w:val="20"/>
        </w:rPr>
        <w:t>prowadzić do jego powstania, oraz wskazując ich wartość bez kwoty podatku.</w:t>
      </w:r>
      <w:r w:rsidR="00392E0E" w:rsidRPr="00E17F2E" w:rsidDel="00392E0E">
        <w:rPr>
          <w:rFonts w:asciiTheme="majorHAnsi" w:hAnsiTheme="majorHAnsi" w:cstheme="majorHAnsi"/>
          <w:sz w:val="20"/>
        </w:rPr>
        <w:t xml:space="preserve"> </w:t>
      </w:r>
    </w:p>
    <w:p w14:paraId="4D537B66" w14:textId="77777777" w:rsidR="00C80F47" w:rsidRPr="00E17F2E" w:rsidRDefault="007A0AC2" w:rsidP="004D76A2">
      <w:pPr>
        <w:pStyle w:val="pkt"/>
        <w:spacing w:before="0" w:after="0" w:line="276" w:lineRule="auto"/>
        <w:ind w:left="426"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lastRenderedPageBreak/>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18E9402B" w:rsidR="0025764F" w:rsidRPr="00E17F2E" w:rsidRDefault="00475975" w:rsidP="00DA0B1F">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361930">
        <w:rPr>
          <w:rFonts w:asciiTheme="majorHAnsi" w:hAnsiTheme="majorHAnsi" w:cstheme="majorHAnsi"/>
          <w:b/>
          <w:bCs/>
          <w:sz w:val="20"/>
        </w:rPr>
        <w:t>2</w:t>
      </w:r>
      <w:r w:rsidR="00F11F78">
        <w:rPr>
          <w:rFonts w:asciiTheme="majorHAnsi" w:hAnsiTheme="majorHAnsi" w:cstheme="majorHAnsi"/>
          <w:b/>
          <w:bCs/>
          <w:sz w:val="20"/>
        </w:rPr>
        <w:t>6</w:t>
      </w:r>
      <w:r w:rsidR="00A803B2" w:rsidRPr="00614516">
        <w:rPr>
          <w:rFonts w:asciiTheme="majorHAnsi" w:hAnsiTheme="majorHAnsi" w:cstheme="majorHAnsi"/>
          <w:b/>
          <w:bCs/>
          <w:sz w:val="20"/>
        </w:rPr>
        <w:t>.</w:t>
      </w:r>
      <w:r w:rsidR="00361930">
        <w:rPr>
          <w:rFonts w:asciiTheme="majorHAnsi" w:hAnsiTheme="majorHAnsi" w:cstheme="majorHAnsi"/>
          <w:b/>
          <w:bCs/>
          <w:sz w:val="20"/>
        </w:rPr>
        <w:t>12</w:t>
      </w:r>
      <w:r w:rsidR="00A803B2" w:rsidRPr="00614516">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4DDD4B1F" w:rsidR="001D3275" w:rsidRPr="00E17F2E" w:rsidRDefault="00475975" w:rsidP="002D4FCA">
      <w:pPr>
        <w:pStyle w:val="pkt"/>
        <w:spacing w:before="24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614516">
        <w:rPr>
          <w:rFonts w:asciiTheme="majorHAnsi" w:hAnsiTheme="majorHAnsi" w:cstheme="majorHAnsi"/>
          <w:b/>
          <w:sz w:val="20"/>
        </w:rPr>
        <w:t xml:space="preserve">dnia </w:t>
      </w:r>
      <w:r w:rsidR="00361930">
        <w:rPr>
          <w:rFonts w:asciiTheme="majorHAnsi" w:hAnsiTheme="majorHAnsi" w:cstheme="majorHAnsi"/>
          <w:b/>
          <w:sz w:val="20"/>
        </w:rPr>
        <w:t>2</w:t>
      </w:r>
      <w:r w:rsidR="00F11F78">
        <w:rPr>
          <w:rFonts w:asciiTheme="majorHAnsi" w:hAnsiTheme="majorHAnsi" w:cstheme="majorHAnsi"/>
          <w:b/>
          <w:sz w:val="20"/>
        </w:rPr>
        <w:t>7</w:t>
      </w:r>
      <w:r w:rsidR="00B2018A" w:rsidRPr="00614516">
        <w:rPr>
          <w:rFonts w:asciiTheme="majorHAnsi" w:hAnsiTheme="majorHAnsi" w:cstheme="majorHAnsi"/>
          <w:b/>
          <w:sz w:val="20"/>
        </w:rPr>
        <w:t>.</w:t>
      </w:r>
      <w:r w:rsidR="00361930">
        <w:rPr>
          <w:rFonts w:asciiTheme="majorHAnsi" w:hAnsiTheme="majorHAnsi" w:cstheme="majorHAnsi"/>
          <w:b/>
          <w:sz w:val="20"/>
        </w:rPr>
        <w:t>11</w:t>
      </w:r>
      <w:r w:rsidR="00B2018A" w:rsidRPr="00614516">
        <w:rPr>
          <w:rFonts w:asciiTheme="majorHAnsi" w:hAnsiTheme="majorHAnsi" w:cstheme="majorHAnsi"/>
          <w:b/>
          <w:sz w:val="20"/>
        </w:rPr>
        <w:t>.202</w:t>
      </w:r>
      <w:r w:rsidR="00A803B2" w:rsidRPr="00614516">
        <w:rPr>
          <w:rFonts w:asciiTheme="majorHAnsi" w:hAnsiTheme="majorHAnsi" w:cstheme="majorHAnsi"/>
          <w:b/>
          <w:sz w:val="20"/>
        </w:rPr>
        <w:t>3</w:t>
      </w:r>
      <w:r w:rsidR="001D3275" w:rsidRPr="00025DC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2D4FCA">
      <w:pPr>
        <w:pStyle w:val="pkt"/>
        <w:spacing w:before="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027B9094" w:rsidR="00AF69A7" w:rsidRPr="00E17F2E" w:rsidRDefault="00475975" w:rsidP="002D4FCA">
      <w:pPr>
        <w:pStyle w:val="pkt"/>
        <w:spacing w:before="0" w:after="0"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E17F2E">
        <w:rPr>
          <w:rFonts w:asciiTheme="majorHAnsi" w:hAnsiTheme="majorHAnsi" w:cstheme="majorHAnsi"/>
          <w:sz w:val="20"/>
        </w:rPr>
        <w:t>nastąpi</w:t>
      </w:r>
      <w:r w:rsidR="00AF69A7" w:rsidRPr="00E17F2E">
        <w:rPr>
          <w:rFonts w:asciiTheme="majorHAnsi" w:hAnsiTheme="majorHAnsi" w:cstheme="majorHAnsi"/>
          <w:sz w:val="20"/>
        </w:rPr>
        <w:t xml:space="preserve"> </w:t>
      </w:r>
      <w:r w:rsidR="001D1042" w:rsidRPr="00E17F2E">
        <w:rPr>
          <w:rFonts w:asciiTheme="majorHAnsi" w:hAnsiTheme="majorHAnsi" w:cstheme="majorHAnsi"/>
          <w:sz w:val="20"/>
        </w:rPr>
        <w:t xml:space="preserve">w </w:t>
      </w:r>
      <w:r w:rsidR="001D1042" w:rsidRPr="00614516">
        <w:rPr>
          <w:rFonts w:asciiTheme="majorHAnsi" w:hAnsiTheme="majorHAnsi" w:cstheme="majorHAnsi"/>
          <w:sz w:val="20"/>
        </w:rPr>
        <w:t xml:space="preserve">dniu </w:t>
      </w:r>
      <w:r w:rsidR="00361930">
        <w:rPr>
          <w:rFonts w:asciiTheme="majorHAnsi" w:hAnsiTheme="majorHAnsi" w:cstheme="majorHAnsi"/>
          <w:b/>
          <w:bCs/>
          <w:sz w:val="20"/>
        </w:rPr>
        <w:t>2</w:t>
      </w:r>
      <w:r w:rsidR="00F11F78">
        <w:rPr>
          <w:rFonts w:asciiTheme="majorHAnsi" w:hAnsiTheme="majorHAnsi" w:cstheme="majorHAnsi"/>
          <w:b/>
          <w:bCs/>
          <w:sz w:val="20"/>
        </w:rPr>
        <w:t>7</w:t>
      </w:r>
      <w:r w:rsidR="00025DC8" w:rsidRPr="00614516">
        <w:rPr>
          <w:rFonts w:asciiTheme="majorHAnsi" w:hAnsiTheme="majorHAnsi" w:cstheme="majorHAnsi"/>
          <w:b/>
          <w:bCs/>
          <w:sz w:val="20"/>
        </w:rPr>
        <w:t>.</w:t>
      </w:r>
      <w:r w:rsidR="00361930">
        <w:rPr>
          <w:rFonts w:asciiTheme="majorHAnsi" w:hAnsiTheme="majorHAnsi" w:cstheme="majorHAnsi"/>
          <w:b/>
          <w:bCs/>
          <w:sz w:val="20"/>
        </w:rPr>
        <w:t>11</w:t>
      </w:r>
      <w:r w:rsidR="00B2018A" w:rsidRPr="00614516">
        <w:rPr>
          <w:rFonts w:asciiTheme="majorHAnsi" w:hAnsiTheme="majorHAnsi" w:cstheme="majorHAnsi"/>
          <w:b/>
          <w:bCs/>
          <w:sz w:val="20"/>
        </w:rPr>
        <w:t>.202</w:t>
      </w:r>
      <w:r w:rsidR="00A803B2" w:rsidRPr="00614516">
        <w:rPr>
          <w:rFonts w:asciiTheme="majorHAnsi" w:hAnsiTheme="majorHAnsi" w:cstheme="majorHAnsi"/>
          <w:b/>
          <w:bCs/>
          <w:sz w:val="20"/>
        </w:rPr>
        <w:t>3</w:t>
      </w:r>
      <w:r w:rsidR="00B2018A" w:rsidRPr="00025DC8">
        <w:rPr>
          <w:rFonts w:asciiTheme="majorHAnsi" w:hAnsiTheme="majorHAnsi" w:cstheme="majorHAnsi"/>
          <w:b/>
          <w:bCs/>
          <w:sz w:val="20"/>
        </w:rPr>
        <w:t xml:space="preserve"> </w:t>
      </w:r>
      <w:r w:rsidR="001D1042" w:rsidRPr="00025DC8">
        <w:rPr>
          <w:rFonts w:asciiTheme="majorHAnsi" w:hAnsiTheme="majorHAnsi" w:cstheme="majorHAnsi"/>
          <w:b/>
          <w:bCs/>
          <w:sz w:val="20"/>
        </w:rPr>
        <w:t>r. o</w:t>
      </w:r>
      <w:r w:rsidR="001D1042" w:rsidRPr="00E17F2E">
        <w:rPr>
          <w:rFonts w:asciiTheme="majorHAnsi" w:hAnsiTheme="majorHAnsi" w:cstheme="majorHAnsi"/>
          <w:b/>
          <w:bCs/>
          <w:sz w:val="20"/>
        </w:rPr>
        <w:t xml:space="preserve"> godzinie </w:t>
      </w:r>
      <w:r w:rsidR="008E4DD9" w:rsidRPr="00E17F2E">
        <w:rPr>
          <w:rFonts w:asciiTheme="majorHAnsi" w:hAnsiTheme="majorHAnsi" w:cstheme="majorHAnsi"/>
          <w:b/>
          <w:bCs/>
          <w:sz w:val="20"/>
        </w:rPr>
        <w:t>10:30.</w:t>
      </w:r>
    </w:p>
    <w:p w14:paraId="3C61B519"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2D4FCA">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5532F6EC" w:rsidR="00DA0B1F" w:rsidRPr="00E17F2E" w:rsidRDefault="00475975" w:rsidP="008650AF">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30EE123C" w14:textId="1F378F48" w:rsidR="003A3C1F" w:rsidRPr="003A3C1F" w:rsidRDefault="00475975" w:rsidP="008650AF">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pującymi kryteriami oceny ofert</w:t>
      </w:r>
      <w:r w:rsidR="003A3C1F">
        <w:rPr>
          <w:rFonts w:asciiTheme="majorHAnsi" w:hAnsiTheme="majorHAnsi" w:cstheme="majorHAnsi"/>
          <w:sz w:val="20"/>
        </w:rPr>
        <w:t xml:space="preserve"> </w:t>
      </w:r>
      <w:r w:rsidR="008861E2" w:rsidRPr="00E17F2E">
        <w:rPr>
          <w:rFonts w:asciiTheme="majorHAnsi" w:hAnsiTheme="majorHAnsi" w:cstheme="majorHAnsi"/>
          <w:sz w:val="20"/>
        </w:rPr>
        <w:t xml:space="preserve"> </w:t>
      </w:r>
      <w:r w:rsidR="003A3C1F" w:rsidRPr="003A3C1F">
        <w:rPr>
          <w:rFonts w:asciiTheme="majorHAnsi" w:hAnsiTheme="majorHAnsi" w:cstheme="majorHAnsi"/>
          <w:b/>
          <w:bCs/>
          <w:sz w:val="20"/>
        </w:rPr>
        <w:t>(dotyczy wszystkich części zamówienia</w:t>
      </w:r>
      <w:r w:rsidR="003A3C1F" w:rsidRPr="003A3C1F">
        <w:rPr>
          <w:rFonts w:asciiTheme="majorHAnsi" w:hAnsiTheme="majorHAnsi" w:cstheme="majorHAnsi"/>
          <w:sz w:val="20"/>
        </w:rPr>
        <w:t>)</w:t>
      </w:r>
      <w:r w:rsidR="00484CA7" w:rsidRPr="00E17F2E">
        <w:rPr>
          <w:rFonts w:asciiTheme="majorHAnsi" w:hAnsiTheme="majorHAnsi" w:cstheme="majorHAnsi"/>
          <w:b/>
          <w:sz w:val="20"/>
        </w:rPr>
        <w:t>:</w:t>
      </w:r>
    </w:p>
    <w:p w14:paraId="7E2019C2" w14:textId="77777777" w:rsidR="003F02A9" w:rsidRPr="00E17F2E" w:rsidRDefault="004B1123" w:rsidP="008650AF">
      <w:pPr>
        <w:pStyle w:val="Akapitzlist"/>
        <w:numPr>
          <w:ilvl w:val="1"/>
          <w:numId w:val="13"/>
        </w:numPr>
        <w:spacing w:line="276" w:lineRule="auto"/>
        <w:ind w:left="993" w:hanging="426"/>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77777777" w:rsidR="009D091E" w:rsidRPr="00E17F2E" w:rsidRDefault="00E122EF" w:rsidP="008650AF">
      <w:pPr>
        <w:pStyle w:val="Akapitzlist"/>
        <w:numPr>
          <w:ilvl w:val="1"/>
          <w:numId w:val="13"/>
        </w:numPr>
        <w:spacing w:line="276" w:lineRule="auto"/>
        <w:ind w:left="993" w:hanging="426"/>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19AA1A05" w14:textId="77777777" w:rsidR="00A209DE" w:rsidRPr="00E17F2E"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lastRenderedPageBreak/>
        <w:t>* spośród wszystkich złożonych ofert niepodlegających odrzuceniu</w:t>
      </w:r>
    </w:p>
    <w:p w14:paraId="10103B1A" w14:textId="13E0162D" w:rsidR="001D392B" w:rsidRPr="0022420B" w:rsidRDefault="001D392B" w:rsidP="0022420B">
      <w:pPr>
        <w:pStyle w:val="Akapitzlist"/>
        <w:numPr>
          <w:ilvl w:val="1"/>
          <w:numId w:val="38"/>
        </w:numPr>
        <w:spacing w:line="276" w:lineRule="auto"/>
        <w:ind w:left="709" w:hanging="283"/>
        <w:jc w:val="both"/>
        <w:rPr>
          <w:rFonts w:asciiTheme="majorHAnsi" w:hAnsiTheme="majorHAnsi" w:cstheme="majorHAnsi"/>
          <w:sz w:val="20"/>
          <w:szCs w:val="20"/>
        </w:rPr>
      </w:pPr>
      <w:r w:rsidRPr="0022420B">
        <w:rPr>
          <w:rFonts w:asciiTheme="majorHAnsi" w:hAnsiTheme="majorHAnsi" w:cstheme="majorHAnsi"/>
          <w:sz w:val="20"/>
          <w:szCs w:val="20"/>
        </w:rPr>
        <w:t>Podstawą przyznania punktów w kryterium „cena” będzie cena ofertowa brutto podana przez Wykonawcę w Formularzu Ofertowym.</w:t>
      </w:r>
    </w:p>
    <w:p w14:paraId="20603588" w14:textId="6DB82AA9" w:rsidR="001D392B" w:rsidRDefault="001D392B" w:rsidP="0022420B">
      <w:pPr>
        <w:pStyle w:val="Akapitzlist"/>
        <w:numPr>
          <w:ilvl w:val="1"/>
          <w:numId w:val="38"/>
        </w:numPr>
        <w:spacing w:line="276" w:lineRule="auto"/>
        <w:ind w:left="709" w:hanging="283"/>
        <w:jc w:val="both"/>
        <w:rPr>
          <w:rFonts w:asciiTheme="majorHAnsi" w:hAnsiTheme="majorHAnsi" w:cstheme="majorHAnsi"/>
          <w:sz w:val="20"/>
          <w:szCs w:val="20"/>
        </w:rPr>
      </w:pPr>
      <w:r w:rsidRPr="0022420B">
        <w:rPr>
          <w:rFonts w:asciiTheme="majorHAnsi" w:hAnsiTheme="majorHAnsi" w:cstheme="majorHAnsi"/>
          <w:sz w:val="20"/>
          <w:szCs w:val="20"/>
        </w:rPr>
        <w:t>Cena ofertowa brutto musi uwzględniać wszelkie koszty jakie Wykonawca poniesie w związku z realizacją przedmiotu zamówienia.</w:t>
      </w:r>
    </w:p>
    <w:p w14:paraId="4D497A8C" w14:textId="77777777" w:rsidR="0022420B" w:rsidRPr="0022420B" w:rsidRDefault="0022420B" w:rsidP="0022420B">
      <w:pPr>
        <w:pStyle w:val="Akapitzlist"/>
        <w:spacing w:line="276" w:lineRule="auto"/>
        <w:ind w:left="709"/>
        <w:jc w:val="both"/>
        <w:rPr>
          <w:rFonts w:asciiTheme="majorHAnsi" w:hAnsiTheme="majorHAnsi" w:cstheme="majorHAnsi"/>
          <w:sz w:val="20"/>
          <w:szCs w:val="20"/>
        </w:rPr>
      </w:pPr>
    </w:p>
    <w:p w14:paraId="3943832C" w14:textId="212087D3"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- 40%,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22420B">
        <w:rPr>
          <w:rFonts w:asciiTheme="majorHAnsi" w:hAnsiTheme="majorHAnsi" w:cstheme="majorHAnsi"/>
          <w:sz w:val="20"/>
          <w:szCs w:val="20"/>
          <w:lang w:eastAsia="ar-SA"/>
        </w:rPr>
        <w:t>kalendarzowych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6D0DDBD4"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w:t>
      </w:r>
      <w:r w:rsidR="0022420B">
        <w:rPr>
          <w:rFonts w:asciiTheme="majorHAnsi" w:eastAsia="Times New Roman" w:hAnsiTheme="majorHAnsi" w:cstheme="majorHAnsi"/>
          <w:b/>
          <w:bCs/>
          <w:sz w:val="20"/>
          <w:szCs w:val="20"/>
        </w:rPr>
        <w:t>termin realizacji zamówienia</w:t>
      </w:r>
    </w:p>
    <w:p w14:paraId="4F366063" w14:textId="4F793BC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  -------------------------------------------------------</w:t>
      </w:r>
      <w:r w:rsidR="0022420B">
        <w:rPr>
          <w:rFonts w:asciiTheme="majorHAnsi" w:eastAsia="Times New Roman" w:hAnsiTheme="majorHAnsi" w:cstheme="majorHAnsi"/>
          <w:b/>
          <w:bCs/>
          <w:sz w:val="20"/>
          <w:szCs w:val="20"/>
        </w:rPr>
        <w:t>---------------------------</w:t>
      </w:r>
      <w:r w:rsidRPr="00E17F2E">
        <w:rPr>
          <w:rFonts w:asciiTheme="majorHAnsi" w:eastAsia="Times New Roman" w:hAnsiTheme="majorHAnsi" w:cstheme="majorHAnsi"/>
          <w:b/>
          <w:bCs/>
          <w:sz w:val="20"/>
          <w:szCs w:val="20"/>
        </w:rPr>
        <w:t>--- x 100</w:t>
      </w:r>
      <w:r w:rsidR="0022123F">
        <w:rPr>
          <w:rFonts w:asciiTheme="majorHAnsi" w:eastAsia="Times New Roman" w:hAnsiTheme="majorHAnsi" w:cstheme="majorHAnsi"/>
          <w:b/>
          <w:bCs/>
          <w:sz w:val="20"/>
          <w:szCs w:val="20"/>
        </w:rPr>
        <w:t xml:space="preserve"> </w:t>
      </w:r>
      <w:r w:rsidR="003F2C71">
        <w:rPr>
          <w:rFonts w:asciiTheme="majorHAnsi" w:eastAsia="Times New Roman" w:hAnsiTheme="majorHAnsi" w:cstheme="majorHAnsi"/>
          <w:b/>
          <w:bCs/>
          <w:sz w:val="20"/>
          <w:szCs w:val="20"/>
        </w:rPr>
        <w:t xml:space="preserve">pkt x </w:t>
      </w:r>
      <w:r w:rsidRPr="00E17F2E">
        <w:rPr>
          <w:rFonts w:asciiTheme="majorHAnsi" w:eastAsia="Times New Roman" w:hAnsiTheme="majorHAnsi" w:cstheme="majorHAnsi"/>
          <w:b/>
          <w:bCs/>
          <w:sz w:val="20"/>
          <w:szCs w:val="20"/>
        </w:rPr>
        <w:t>40 %</w:t>
      </w:r>
    </w:p>
    <w:p w14:paraId="741C95A5" w14:textId="11AA2CAF"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420B">
        <w:rPr>
          <w:rFonts w:asciiTheme="majorHAnsi" w:eastAsia="Times New Roman" w:hAnsiTheme="majorHAnsi" w:cstheme="majorHAnsi"/>
          <w:b/>
          <w:bCs/>
          <w:sz w:val="20"/>
          <w:szCs w:val="20"/>
        </w:rPr>
        <w:t>termin 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0B9D5D95" w14:textId="4547F6C7" w:rsidR="005B4817" w:rsidRDefault="00E7626C"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sidRPr="00E7626C">
        <w:rPr>
          <w:rFonts w:asciiTheme="majorHAnsi" w:hAnsiTheme="majorHAnsi" w:cstheme="majorHAnsi"/>
          <w:bCs/>
          <w:sz w:val="20"/>
          <w:szCs w:val="20"/>
          <w:lang w:eastAsia="ar-SA"/>
        </w:rPr>
        <w:t xml:space="preserve">Minimalny termin dostawy to </w:t>
      </w:r>
      <w:r w:rsidR="0022420B">
        <w:rPr>
          <w:rFonts w:asciiTheme="majorHAnsi" w:hAnsiTheme="majorHAnsi" w:cstheme="majorHAnsi"/>
          <w:b/>
          <w:sz w:val="20"/>
          <w:szCs w:val="20"/>
          <w:lang w:eastAsia="ar-SA"/>
        </w:rPr>
        <w:t xml:space="preserve">7 </w:t>
      </w:r>
      <w:r w:rsidRPr="000665CC">
        <w:rPr>
          <w:rFonts w:asciiTheme="majorHAnsi" w:hAnsiTheme="majorHAnsi" w:cstheme="majorHAnsi"/>
          <w:b/>
          <w:sz w:val="20"/>
          <w:szCs w:val="20"/>
          <w:lang w:eastAsia="ar-SA"/>
        </w:rPr>
        <w:t xml:space="preserve">dni </w:t>
      </w:r>
      <w:r w:rsidR="0022420B">
        <w:rPr>
          <w:rFonts w:asciiTheme="majorHAnsi" w:hAnsiTheme="majorHAnsi" w:cstheme="majorHAnsi"/>
          <w:b/>
          <w:sz w:val="20"/>
          <w:szCs w:val="20"/>
          <w:lang w:eastAsia="ar-SA"/>
        </w:rPr>
        <w:t>kalendarzowych</w:t>
      </w:r>
      <w:r w:rsidRPr="00E7626C">
        <w:rPr>
          <w:rFonts w:asciiTheme="majorHAnsi" w:hAnsiTheme="majorHAnsi" w:cstheme="majorHAnsi"/>
          <w:bCs/>
          <w:sz w:val="20"/>
          <w:szCs w:val="20"/>
          <w:lang w:eastAsia="ar-SA"/>
        </w:rPr>
        <w:t xml:space="preserve"> a maksymalny termin dostawy to </w:t>
      </w:r>
      <w:r w:rsidRPr="000665CC">
        <w:rPr>
          <w:rFonts w:asciiTheme="majorHAnsi" w:hAnsiTheme="majorHAnsi" w:cstheme="majorHAnsi"/>
          <w:b/>
          <w:sz w:val="20"/>
          <w:szCs w:val="20"/>
          <w:lang w:eastAsia="ar-SA"/>
        </w:rPr>
        <w:t>1</w:t>
      </w:r>
      <w:r w:rsidR="0022420B">
        <w:rPr>
          <w:rFonts w:asciiTheme="majorHAnsi" w:hAnsiTheme="majorHAnsi" w:cstheme="majorHAnsi"/>
          <w:b/>
          <w:sz w:val="20"/>
          <w:szCs w:val="20"/>
          <w:lang w:eastAsia="ar-SA"/>
        </w:rPr>
        <w:t xml:space="preserve">4 </w:t>
      </w:r>
      <w:r w:rsidRPr="000665CC">
        <w:rPr>
          <w:rFonts w:asciiTheme="majorHAnsi" w:hAnsiTheme="majorHAnsi" w:cstheme="majorHAnsi"/>
          <w:b/>
          <w:sz w:val="20"/>
          <w:szCs w:val="20"/>
          <w:lang w:eastAsia="ar-SA"/>
        </w:rPr>
        <w:t xml:space="preserve">dni </w:t>
      </w:r>
      <w:r w:rsidR="0022420B">
        <w:rPr>
          <w:rFonts w:asciiTheme="majorHAnsi" w:hAnsiTheme="majorHAnsi" w:cstheme="majorHAnsi"/>
          <w:b/>
          <w:sz w:val="20"/>
          <w:szCs w:val="20"/>
          <w:lang w:eastAsia="ar-SA"/>
        </w:rPr>
        <w:t>kalendarzowych</w:t>
      </w:r>
      <w:r w:rsidRPr="00E7626C">
        <w:rPr>
          <w:rFonts w:asciiTheme="majorHAnsi" w:hAnsiTheme="majorHAnsi" w:cstheme="majorHAnsi"/>
          <w:bCs/>
          <w:sz w:val="20"/>
          <w:szCs w:val="20"/>
          <w:lang w:eastAsia="ar-SA"/>
        </w:rPr>
        <w:t xml:space="preserve"> od dnia podpisania umowy. </w:t>
      </w:r>
    </w:p>
    <w:p w14:paraId="1C7179D9" w14:textId="181BC565" w:rsidR="00646586" w:rsidRDefault="00E7626C"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sidRPr="00E7626C">
        <w:rPr>
          <w:rFonts w:asciiTheme="majorHAnsi" w:hAnsiTheme="majorHAnsi" w:cstheme="majorHAnsi"/>
          <w:bCs/>
          <w:sz w:val="20"/>
          <w:szCs w:val="20"/>
          <w:lang w:eastAsia="ar-SA"/>
        </w:rPr>
        <w:t>Zamawiający wymaga podania terminu wykonania zamówienia w pełnych dniach (liczba całkowita).</w:t>
      </w:r>
    </w:p>
    <w:p w14:paraId="6C33D554" w14:textId="68F19CDD" w:rsidR="004D6665" w:rsidRPr="005B4817" w:rsidRDefault="00E7626C"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bCs/>
          <w:sz w:val="20"/>
          <w:szCs w:val="20"/>
          <w:lang w:eastAsia="ar-SA"/>
        </w:rPr>
      </w:pPr>
      <w:r w:rsidRPr="005B4817">
        <w:rPr>
          <w:rFonts w:asciiTheme="majorHAnsi" w:hAnsiTheme="majorHAnsi" w:cstheme="majorHAnsi"/>
          <w:bCs/>
          <w:kern w:val="1"/>
          <w:sz w:val="20"/>
          <w:szCs w:val="20"/>
          <w:lang w:eastAsia="ar-SA"/>
        </w:rPr>
        <w:t xml:space="preserve">Oferta nie może być opatrzona terminem dostawy innym niż z podanego zakresu, gdyż będzie niezgodna z SWZ i zostanie odrzucona na podstawie art. 226 ust.1 pkt 5 ustawy </w:t>
      </w:r>
      <w:proofErr w:type="spellStart"/>
      <w:r w:rsidRPr="005B4817">
        <w:rPr>
          <w:rFonts w:asciiTheme="majorHAnsi" w:hAnsiTheme="majorHAnsi" w:cstheme="majorHAnsi"/>
          <w:bCs/>
          <w:kern w:val="1"/>
          <w:sz w:val="20"/>
          <w:szCs w:val="20"/>
          <w:lang w:eastAsia="ar-SA"/>
        </w:rPr>
        <w:t>Pzp</w:t>
      </w:r>
      <w:proofErr w:type="spellEnd"/>
      <w:r w:rsidRPr="005B4817">
        <w:rPr>
          <w:rFonts w:asciiTheme="majorHAnsi" w:hAnsiTheme="majorHAnsi" w:cstheme="majorHAnsi"/>
          <w:bCs/>
          <w:kern w:val="1"/>
          <w:sz w:val="20"/>
          <w:szCs w:val="20"/>
          <w:lang w:eastAsia="ar-SA"/>
        </w:rPr>
        <w:t>.</w:t>
      </w:r>
      <w:r w:rsidR="004D6665" w:rsidRPr="005B4817">
        <w:rPr>
          <w:rFonts w:asciiTheme="majorHAnsi" w:hAnsiTheme="majorHAnsi" w:cstheme="majorHAnsi"/>
          <w:sz w:val="20"/>
          <w:szCs w:val="20"/>
          <w:lang w:eastAsia="ar-SA"/>
        </w:rPr>
        <w:t xml:space="preserve"> </w:t>
      </w:r>
    </w:p>
    <w:p w14:paraId="52973A9E" w14:textId="4676E50D" w:rsidR="00665107" w:rsidRPr="00E17F2E" w:rsidRDefault="00665107" w:rsidP="0028231D">
      <w:pPr>
        <w:numPr>
          <w:ilvl w:val="1"/>
          <w:numId w:val="32"/>
        </w:numPr>
        <w:tabs>
          <w:tab w:val="left" w:pos="993"/>
          <w:tab w:val="left" w:pos="10382"/>
        </w:tabs>
        <w:suppressAutoHyphens/>
        <w:spacing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60BCE16B" w14:textId="77777777" w:rsidR="00BF502A" w:rsidRPr="00E17F2E" w:rsidRDefault="00BF502A" w:rsidP="00F65F6F">
      <w:pPr>
        <w:pStyle w:val="pkt"/>
        <w:spacing w:before="0" w:after="0" w:line="360" w:lineRule="auto"/>
        <w:ind w:left="0" w:firstLine="0"/>
        <w:rPr>
          <w:rFonts w:asciiTheme="majorHAnsi" w:hAnsiTheme="majorHAnsi" w:cstheme="majorHAnsi"/>
          <w:sz w:val="20"/>
        </w:rPr>
      </w:pPr>
    </w:p>
    <w:p w14:paraId="4920AE9F" w14:textId="77777777" w:rsidR="004C382C" w:rsidRPr="00E17F2E" w:rsidRDefault="008A255E" w:rsidP="004C382C">
      <w:pPr>
        <w:shd w:val="clear" w:color="auto" w:fill="FFFFFF"/>
        <w:spacing w:after="15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4</w:t>
      </w:r>
      <w:r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48D6F6FB" w:rsidR="004C382C" w:rsidRPr="00E17F2E" w:rsidRDefault="004C382C" w:rsidP="008A255E">
      <w:pPr>
        <w:shd w:val="clear" w:color="auto" w:fill="FFFFFF"/>
        <w:spacing w:line="276" w:lineRule="auto"/>
        <w:ind w:left="448"/>
        <w:rPr>
          <w:rFonts w:asciiTheme="majorHAnsi" w:hAnsiTheme="majorHAnsi" w:cstheme="majorHAnsi"/>
          <w:sz w:val="20"/>
          <w:szCs w:val="20"/>
        </w:rPr>
      </w:pPr>
      <w:r w:rsidRPr="00E17F2E">
        <w:rPr>
          <w:rFonts w:asciiTheme="majorHAnsi" w:hAnsiTheme="majorHAnsi" w:cstheme="majorHAnsi"/>
          <w:sz w:val="20"/>
          <w:szCs w:val="20"/>
        </w:rPr>
        <w:t xml:space="preserve">P = C + </w:t>
      </w:r>
      <w:r w:rsidR="008A255E" w:rsidRPr="00E17F2E">
        <w:rPr>
          <w:rFonts w:asciiTheme="majorHAnsi" w:hAnsiTheme="majorHAnsi" w:cstheme="majorHAnsi"/>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4C382C">
      <w:pPr>
        <w:spacing w:before="120"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17DD8257" w:rsidR="0033003F"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w:t>
      </w:r>
      <w:r w:rsidR="0022420B">
        <w:rPr>
          <w:rFonts w:asciiTheme="majorHAnsi" w:hAnsiTheme="majorHAnsi" w:cstheme="majorHAnsi"/>
          <w:sz w:val="20"/>
        </w:rPr>
        <w:t>Z</w:t>
      </w:r>
      <w:r w:rsidR="0033003F" w:rsidRPr="00E17F2E">
        <w:rPr>
          <w:rFonts w:asciiTheme="majorHAnsi" w:hAnsiTheme="majorHAnsi" w:cstheme="majorHAnsi"/>
          <w:sz w:val="20"/>
        </w:rPr>
        <w:t xml:space="preserve">amawiający wybiera spośród tych ofert ofertę, która otrzymała najwyższą ocenę w kryterium o najwyższej wadze. </w:t>
      </w:r>
    </w:p>
    <w:p w14:paraId="110B7B08" w14:textId="420C33ED" w:rsidR="00DE2294"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28231D">
      <w:pPr>
        <w:pStyle w:val="pkt"/>
        <w:numPr>
          <w:ilvl w:val="0"/>
          <w:numId w:val="14"/>
        </w:numPr>
        <w:spacing w:before="0" w:after="0" w:line="276" w:lineRule="auto"/>
        <w:ind w:left="0" w:firstLine="142"/>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15311F">
      <w:pPr>
        <w:pStyle w:val="Akapitzlist"/>
        <w:numPr>
          <w:ilvl w:val="0"/>
          <w:numId w:val="33"/>
        </w:numPr>
        <w:spacing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lastRenderedPageBreak/>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15311F">
      <w:pPr>
        <w:pStyle w:val="pkt"/>
        <w:numPr>
          <w:ilvl w:val="0"/>
          <w:numId w:val="33"/>
        </w:numPr>
        <w:spacing w:before="0" w:after="0"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7777777"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9B3185">
      <w:p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proofErr w:type="spellStart"/>
      <w:r w:rsidR="00F70ACE" w:rsidRPr="00E17F2E">
        <w:rPr>
          <w:rFonts w:asciiTheme="majorHAnsi" w:hAnsiTheme="majorHAnsi" w:cstheme="majorHAnsi"/>
          <w:sz w:val="20"/>
          <w:szCs w:val="20"/>
        </w:rPr>
        <w:t>Pzp</w:t>
      </w:r>
      <w:proofErr w:type="spellEnd"/>
      <w:r w:rsidR="00F70ACE" w:rsidRPr="00E17F2E">
        <w:rPr>
          <w:rFonts w:asciiTheme="majorHAnsi" w:hAnsiTheme="majorHAnsi" w:cstheme="majorHAnsi"/>
          <w:sz w:val="20"/>
          <w:szCs w:val="20"/>
        </w:rPr>
        <w:t>.</w:t>
      </w:r>
    </w:p>
    <w:p w14:paraId="6011757D" w14:textId="77777777" w:rsidR="00FA3063"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28231D">
      <w:pPr>
        <w:numPr>
          <w:ilvl w:val="0"/>
          <w:numId w:val="29"/>
        </w:numPr>
        <w:tabs>
          <w:tab w:val="clear" w:pos="360"/>
        </w:tabs>
        <w:suppressAutoHyphens/>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xml:space="preserve">. </w:t>
      </w:r>
    </w:p>
    <w:p w14:paraId="5AD3C4E1"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oraz Rzecznikowi Małych i Średnich Przedsiębiorców.</w:t>
      </w:r>
    </w:p>
    <w:p w14:paraId="0934C0C9"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28231D">
      <w:pPr>
        <w:numPr>
          <w:ilvl w:val="0"/>
          <w:numId w:val="29"/>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8650AF">
        <w:rPr>
          <w:rFonts w:asciiTheme="majorHAnsi" w:hAnsiTheme="majorHAnsi" w:cstheme="majorHAnsi"/>
          <w:b/>
          <w:sz w:val="20"/>
          <w:szCs w:val="20"/>
        </w:rPr>
        <w:lastRenderedPageBreak/>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8650AF">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57666A">
      <w:pPr>
        <w:suppressAutoHyphens/>
        <w:spacing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Na orzeczenie Izby oraz postanowienie Prezesa Izby, o którym mowa w art. 519 ust. 1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stronom oraz uczestnikom postępowania odwoławczego przysługuje skarga do sądu.</w:t>
      </w:r>
    </w:p>
    <w:p w14:paraId="09DD9026"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Pr="00E17F2E">
        <w:rPr>
          <w:rFonts w:asciiTheme="majorHAnsi" w:hAnsiTheme="majorHAnsi" w:cstheme="majorHAnsi"/>
          <w:sz w:val="20"/>
          <w:szCs w:val="20"/>
        </w:rPr>
        <w:t>Pzp</w:t>
      </w:r>
      <w:proofErr w:type="spellEnd"/>
      <w:r w:rsidRPr="00E17F2E">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28231D">
      <w:pPr>
        <w:numPr>
          <w:ilvl w:val="0"/>
          <w:numId w:val="30"/>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77777777" w:rsidR="00806A2A" w:rsidRPr="00E17F2E" w:rsidRDefault="00477D23"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4A5BAA25" w14:textId="77777777" w:rsidR="004D395D" w:rsidRPr="00E17F2E" w:rsidRDefault="004D395D"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Załącznik nr 2</w:t>
      </w:r>
      <w:r w:rsidR="00A25C33" w:rsidRPr="00E17F2E">
        <w:rPr>
          <w:rFonts w:asciiTheme="majorHAnsi" w:hAnsiTheme="majorHAnsi" w:cstheme="majorHAnsi"/>
          <w:sz w:val="20"/>
          <w:szCs w:val="20"/>
        </w:rPr>
        <w:t xml:space="preserve"> - </w:t>
      </w:r>
      <w:r w:rsidRPr="00E17F2E">
        <w:rPr>
          <w:rFonts w:asciiTheme="majorHAnsi" w:hAnsiTheme="majorHAnsi" w:cstheme="majorHAnsi"/>
          <w:sz w:val="20"/>
          <w:szCs w:val="20"/>
        </w:rPr>
        <w:t xml:space="preserve"> Formularz cenowy</w:t>
      </w:r>
    </w:p>
    <w:p w14:paraId="399B301F" w14:textId="42CA0F17" w:rsidR="00DA0B1F" w:rsidRPr="00E17F2E" w:rsidRDefault="00477D23" w:rsidP="002B2D79">
      <w:pPr>
        <w:suppressAutoHyphens/>
        <w:spacing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3</w:t>
      </w:r>
      <w:r w:rsidR="00B06F7F">
        <w:rPr>
          <w:rFonts w:asciiTheme="majorHAnsi" w:hAnsiTheme="majorHAnsi" w:cstheme="majorHAnsi"/>
          <w:sz w:val="20"/>
          <w:szCs w:val="20"/>
        </w:rPr>
        <w:t>a i 3b</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 xml:space="preserve">Oświadczenie o braku podstaw do wykluczenia i o spełnianiu warunków udziału </w:t>
      </w:r>
      <w:r w:rsidR="002B2D79"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w postępowaniu</w:t>
      </w:r>
    </w:p>
    <w:p w14:paraId="1191F792" w14:textId="77777777" w:rsidR="00E84975" w:rsidRPr="00E17F2E" w:rsidRDefault="00DA0B1F"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Załą</w:t>
      </w:r>
      <w:r w:rsidR="002B2D79" w:rsidRPr="00E17F2E">
        <w:rPr>
          <w:rFonts w:asciiTheme="majorHAnsi" w:hAnsiTheme="majorHAnsi" w:cstheme="majorHAnsi"/>
          <w:sz w:val="20"/>
          <w:szCs w:val="20"/>
        </w:rPr>
        <w:t xml:space="preserve">cznik nr </w:t>
      </w:r>
      <w:r w:rsidR="004D395D" w:rsidRPr="00E17F2E">
        <w:rPr>
          <w:rFonts w:asciiTheme="majorHAnsi" w:hAnsiTheme="majorHAnsi" w:cstheme="majorHAnsi"/>
          <w:sz w:val="20"/>
          <w:szCs w:val="20"/>
        </w:rPr>
        <w:t>3</w:t>
      </w:r>
      <w:r w:rsidR="002B2D79" w:rsidRPr="00E17F2E">
        <w:rPr>
          <w:rFonts w:asciiTheme="majorHAnsi" w:hAnsiTheme="majorHAnsi" w:cstheme="majorHAnsi"/>
          <w:sz w:val="20"/>
          <w:szCs w:val="20"/>
        </w:rPr>
        <w:t>c</w:t>
      </w:r>
      <w:r w:rsidRPr="00E17F2E">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4</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77777777" w:rsidR="00A340D8"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4D395D" w:rsidRPr="00E17F2E">
        <w:rPr>
          <w:rFonts w:asciiTheme="majorHAnsi" w:hAnsiTheme="majorHAnsi" w:cstheme="majorHAnsi"/>
          <w:sz w:val="20"/>
          <w:szCs w:val="20"/>
        </w:rPr>
        <w:t>5</w:t>
      </w:r>
      <w:r w:rsidR="00C96180" w:rsidRPr="00E17F2E">
        <w:rPr>
          <w:rFonts w:asciiTheme="majorHAnsi" w:hAnsiTheme="majorHAnsi" w:cstheme="majorHAnsi"/>
          <w:sz w:val="20"/>
          <w:szCs w:val="20"/>
        </w:rPr>
        <w:t xml:space="preserve"> </w:t>
      </w:r>
      <w:r w:rsidR="00A340D8" w:rsidRPr="00E17F2E">
        <w:rPr>
          <w:rFonts w:asciiTheme="majorHAnsi" w:hAnsiTheme="majorHAnsi" w:cstheme="majorHAnsi"/>
          <w:sz w:val="20"/>
          <w:szCs w:val="20"/>
        </w:rPr>
        <w:t>– Oświadczenie o grupie kapitałowej</w:t>
      </w:r>
    </w:p>
    <w:p w14:paraId="284C9D14" w14:textId="23E181E0" w:rsidR="00D1008B" w:rsidRPr="007D16B3" w:rsidRDefault="00A340D8" w:rsidP="007D16B3">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6  - </w:t>
      </w:r>
      <w:r w:rsidR="009643AF" w:rsidRPr="00E17F2E">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11D9604" w:rsidR="00404A9B" w:rsidRPr="00404A9B" w:rsidRDefault="00404A9B" w:rsidP="00404A9B">
      <w:pPr>
        <w:suppressAutoHyphens/>
        <w:spacing w:line="276" w:lineRule="auto"/>
        <w:ind w:left="709" w:hanging="709"/>
        <w:jc w:val="right"/>
        <w:rPr>
          <w:rFonts w:asciiTheme="majorHAnsi" w:hAnsiTheme="majorHAnsi" w:cstheme="majorHAnsi"/>
          <w:b/>
          <w:sz w:val="20"/>
          <w:szCs w:val="20"/>
        </w:rPr>
      </w:pPr>
      <w:r w:rsidRPr="00404A9B">
        <w:rPr>
          <w:rFonts w:asciiTheme="majorHAnsi" w:hAnsiTheme="majorHAnsi" w:cstheme="majorHAnsi"/>
          <w:sz w:val="20"/>
          <w:szCs w:val="20"/>
        </w:rPr>
        <w:t>Kanclerz UKW</w:t>
      </w:r>
    </w:p>
    <w:p w14:paraId="0CC3415C" w14:textId="480AE851" w:rsidR="00404A9B" w:rsidRDefault="00404A9B" w:rsidP="00404A9B">
      <w:pPr>
        <w:suppressAutoHyphens/>
        <w:spacing w:line="276" w:lineRule="auto"/>
        <w:ind w:left="709" w:hanging="709"/>
        <w:jc w:val="right"/>
        <w:rPr>
          <w:rFonts w:asciiTheme="majorHAnsi" w:hAnsiTheme="majorHAnsi" w:cstheme="majorHAnsi"/>
          <w:sz w:val="20"/>
          <w:szCs w:val="20"/>
        </w:rPr>
      </w:pPr>
      <w:r w:rsidRPr="00404A9B">
        <w:rPr>
          <w:rFonts w:asciiTheme="majorHAnsi" w:hAnsiTheme="majorHAnsi" w:cstheme="majorHAnsi"/>
          <w:sz w:val="20"/>
          <w:szCs w:val="20"/>
        </w:rPr>
        <w:t xml:space="preserve">mgr Renata Malak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77777777" w:rsidR="00F02DB9" w:rsidRPr="00E17F2E"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F02DB9"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EE55" w14:textId="77777777" w:rsidR="007C1F19" w:rsidRDefault="007C1F19">
      <w:r>
        <w:separator/>
      </w:r>
    </w:p>
  </w:endnote>
  <w:endnote w:type="continuationSeparator" w:id="0">
    <w:p w14:paraId="22874855" w14:textId="77777777" w:rsidR="007C1F19" w:rsidRDefault="007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3900" w14:textId="77777777" w:rsidR="007C1F19" w:rsidRDefault="007C1F19">
      <w:r>
        <w:separator/>
      </w:r>
    </w:p>
  </w:footnote>
  <w:footnote w:type="continuationSeparator" w:id="0">
    <w:p w14:paraId="66E7E841" w14:textId="77777777" w:rsidR="007C1F19" w:rsidRDefault="007C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8806F39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7C374A"/>
    <w:multiLevelType w:val="hybridMultilevel"/>
    <w:tmpl w:val="941A13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0" w15:restartNumberingAfterBreak="0">
    <w:nsid w:val="268916AD"/>
    <w:multiLevelType w:val="hybridMultilevel"/>
    <w:tmpl w:val="29564720"/>
    <w:lvl w:ilvl="0" w:tplc="16B0E6A0">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EDB529F"/>
    <w:multiLevelType w:val="hybridMultilevel"/>
    <w:tmpl w:val="35B2347A"/>
    <w:lvl w:ilvl="0" w:tplc="AD066AB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3CDB53AB"/>
    <w:multiLevelType w:val="hybridMultilevel"/>
    <w:tmpl w:val="77C65D06"/>
    <w:lvl w:ilvl="0" w:tplc="05422F6C">
      <w:start w:val="8"/>
      <w:numFmt w:val="decimal"/>
      <w:lvlText w:val="%1."/>
      <w:lvlJc w:val="left"/>
      <w:pPr>
        <w:ind w:left="360" w:hanging="360"/>
      </w:pPr>
      <w:rPr>
        <w:rFonts w:asciiTheme="majorHAnsi" w:eastAsia="Times New Roman" w:hAnsiTheme="majorHAnsi" w:cstheme="majorHAnsi"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E2B371A"/>
    <w:multiLevelType w:val="hybridMultilevel"/>
    <w:tmpl w:val="89842898"/>
    <w:lvl w:ilvl="0" w:tplc="A7B662B0">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8"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BC6EA6"/>
    <w:multiLevelType w:val="hybridMultilevel"/>
    <w:tmpl w:val="1748863A"/>
    <w:lvl w:ilvl="0" w:tplc="D0DE815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0EA3EDB"/>
    <w:multiLevelType w:val="multilevel"/>
    <w:tmpl w:val="DA8E20F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38" w15:restartNumberingAfterBreak="0">
    <w:nsid w:val="7633578A"/>
    <w:multiLevelType w:val="hybridMultilevel"/>
    <w:tmpl w:val="09541E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73500F6"/>
    <w:multiLevelType w:val="hybridMultilevel"/>
    <w:tmpl w:val="49DA813A"/>
    <w:lvl w:ilvl="0" w:tplc="2EBC287E">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7F30156"/>
    <w:multiLevelType w:val="hybridMultilevel"/>
    <w:tmpl w:val="FAB46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53897"/>
    <w:multiLevelType w:val="hybridMultilevel"/>
    <w:tmpl w:val="B1CC9274"/>
    <w:lvl w:ilvl="0" w:tplc="0F080130">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BCD3AE5"/>
    <w:multiLevelType w:val="hybridMultilevel"/>
    <w:tmpl w:val="2F8C7D9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3" w15:restartNumberingAfterBreak="0">
    <w:nsid w:val="7D3F3FD1"/>
    <w:multiLevelType w:val="hybridMultilevel"/>
    <w:tmpl w:val="FBDCD5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6"/>
  </w:num>
  <w:num w:numId="5">
    <w:abstractNumId w:val="26"/>
  </w:num>
  <w:num w:numId="6">
    <w:abstractNumId w:val="35"/>
  </w:num>
  <w:num w:numId="7">
    <w:abstractNumId w:val="33"/>
  </w:num>
  <w:num w:numId="8">
    <w:abstractNumId w:val="31"/>
    <w:lvlOverride w:ilvl="0">
      <w:startOverride w:val="1"/>
    </w:lvlOverride>
  </w:num>
  <w:num w:numId="9">
    <w:abstractNumId w:val="25"/>
    <w:lvlOverride w:ilvl="0">
      <w:startOverride w:val="1"/>
    </w:lvlOverride>
  </w:num>
  <w:num w:numId="10">
    <w:abstractNumId w:val="18"/>
  </w:num>
  <w:num w:numId="11">
    <w:abstractNumId w:val="17"/>
  </w:num>
  <w:num w:numId="12">
    <w:abstractNumId w:val="34"/>
  </w:num>
  <w:num w:numId="13">
    <w:abstractNumId w:val="16"/>
  </w:num>
  <w:num w:numId="14">
    <w:abstractNumId w:val="29"/>
  </w:num>
  <w:num w:numId="15">
    <w:abstractNumId w:val="9"/>
  </w:num>
  <w:num w:numId="16">
    <w:abstractNumId w:val="28"/>
  </w:num>
  <w:num w:numId="17">
    <w:abstractNumId w:val="11"/>
  </w:num>
  <w:num w:numId="18">
    <w:abstractNumId w:val="30"/>
  </w:num>
  <w:num w:numId="19">
    <w:abstractNumId w:val="38"/>
  </w:num>
  <w:num w:numId="20">
    <w:abstractNumId w:val="19"/>
  </w:num>
  <w:num w:numId="21">
    <w:abstractNumId w:val="21"/>
  </w:num>
  <w:num w:numId="22">
    <w:abstractNumId w:val="37"/>
  </w:num>
  <w:num w:numId="23">
    <w:abstractNumId w:val="13"/>
  </w:num>
  <w:num w:numId="24">
    <w:abstractNumId w:val="22"/>
  </w:num>
  <w:num w:numId="25">
    <w:abstractNumId w:val="41"/>
  </w:num>
  <w:num w:numId="26">
    <w:abstractNumId w:val="39"/>
  </w:num>
  <w:num w:numId="27">
    <w:abstractNumId w:val="32"/>
  </w:num>
  <w:num w:numId="28">
    <w:abstractNumId w:val="14"/>
  </w:num>
  <w:num w:numId="29">
    <w:abstractNumId w:val="20"/>
  </w:num>
  <w:num w:numId="30">
    <w:abstractNumId w:val="23"/>
  </w:num>
  <w:num w:numId="31">
    <w:abstractNumId w:val="24"/>
  </w:num>
  <w:num w:numId="32">
    <w:abstractNumId w:val="27"/>
  </w:num>
  <w:num w:numId="33">
    <w:abstractNumId w:val="12"/>
  </w:num>
  <w:num w:numId="34">
    <w:abstractNumId w:val="15"/>
  </w:num>
  <w:num w:numId="35">
    <w:abstractNumId w:val="42"/>
  </w:num>
  <w:num w:numId="36">
    <w:abstractNumId w:val="10"/>
  </w:num>
  <w:num w:numId="37">
    <w:abstractNumId w:val="40"/>
  </w:num>
  <w:num w:numId="38">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A67"/>
    <w:rsid w:val="00031B1A"/>
    <w:rsid w:val="00032FCA"/>
    <w:rsid w:val="00033A87"/>
    <w:rsid w:val="00033F45"/>
    <w:rsid w:val="00035151"/>
    <w:rsid w:val="000351BA"/>
    <w:rsid w:val="000352EE"/>
    <w:rsid w:val="000364B3"/>
    <w:rsid w:val="0003711D"/>
    <w:rsid w:val="000379D6"/>
    <w:rsid w:val="00037A32"/>
    <w:rsid w:val="00037EF1"/>
    <w:rsid w:val="0004004F"/>
    <w:rsid w:val="00040703"/>
    <w:rsid w:val="000409A3"/>
    <w:rsid w:val="00040AB2"/>
    <w:rsid w:val="00040F4D"/>
    <w:rsid w:val="00041364"/>
    <w:rsid w:val="00041891"/>
    <w:rsid w:val="0004298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CE1"/>
    <w:rsid w:val="00110ABB"/>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84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420B"/>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6724"/>
    <w:rsid w:val="00246D8F"/>
    <w:rsid w:val="0024784E"/>
    <w:rsid w:val="00247F59"/>
    <w:rsid w:val="00250098"/>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A34"/>
    <w:rsid w:val="002610EC"/>
    <w:rsid w:val="002615D5"/>
    <w:rsid w:val="002625C8"/>
    <w:rsid w:val="00262A8E"/>
    <w:rsid w:val="002630DF"/>
    <w:rsid w:val="002636C4"/>
    <w:rsid w:val="00263C63"/>
    <w:rsid w:val="002644F3"/>
    <w:rsid w:val="002661D7"/>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C08"/>
    <w:rsid w:val="002F53C3"/>
    <w:rsid w:val="002F58D9"/>
    <w:rsid w:val="002F671D"/>
    <w:rsid w:val="002F70B6"/>
    <w:rsid w:val="002F7818"/>
    <w:rsid w:val="00300734"/>
    <w:rsid w:val="00302547"/>
    <w:rsid w:val="00302C14"/>
    <w:rsid w:val="00302D55"/>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5629"/>
    <w:rsid w:val="00346709"/>
    <w:rsid w:val="0034731A"/>
    <w:rsid w:val="0034764B"/>
    <w:rsid w:val="003511DB"/>
    <w:rsid w:val="00351283"/>
    <w:rsid w:val="003516A7"/>
    <w:rsid w:val="003521C8"/>
    <w:rsid w:val="0035258B"/>
    <w:rsid w:val="003544E7"/>
    <w:rsid w:val="00354A0D"/>
    <w:rsid w:val="00355EDE"/>
    <w:rsid w:val="00356CFB"/>
    <w:rsid w:val="003570A4"/>
    <w:rsid w:val="00360BD8"/>
    <w:rsid w:val="00361930"/>
    <w:rsid w:val="00361AEE"/>
    <w:rsid w:val="003625F8"/>
    <w:rsid w:val="00362F0A"/>
    <w:rsid w:val="0036478B"/>
    <w:rsid w:val="00364E3F"/>
    <w:rsid w:val="00364EE8"/>
    <w:rsid w:val="00365785"/>
    <w:rsid w:val="003657BF"/>
    <w:rsid w:val="0036580F"/>
    <w:rsid w:val="00365896"/>
    <w:rsid w:val="00366504"/>
    <w:rsid w:val="003665E4"/>
    <w:rsid w:val="00370FCF"/>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F10"/>
    <w:rsid w:val="00391548"/>
    <w:rsid w:val="00391BAA"/>
    <w:rsid w:val="003924E5"/>
    <w:rsid w:val="00392558"/>
    <w:rsid w:val="003925AF"/>
    <w:rsid w:val="00392E0E"/>
    <w:rsid w:val="003934F0"/>
    <w:rsid w:val="00393648"/>
    <w:rsid w:val="003940C3"/>
    <w:rsid w:val="003957F7"/>
    <w:rsid w:val="00395B19"/>
    <w:rsid w:val="003960D1"/>
    <w:rsid w:val="00396207"/>
    <w:rsid w:val="00396788"/>
    <w:rsid w:val="003978AA"/>
    <w:rsid w:val="00397DEE"/>
    <w:rsid w:val="003A14B8"/>
    <w:rsid w:val="003A279E"/>
    <w:rsid w:val="003A2B58"/>
    <w:rsid w:val="003A3C1F"/>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52A"/>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402D"/>
    <w:rsid w:val="003F4068"/>
    <w:rsid w:val="003F4E03"/>
    <w:rsid w:val="003F5150"/>
    <w:rsid w:val="003F58CE"/>
    <w:rsid w:val="003F5F7B"/>
    <w:rsid w:val="003F687C"/>
    <w:rsid w:val="003F7641"/>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42B2"/>
    <w:rsid w:val="004D4DA3"/>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E6C"/>
    <w:rsid w:val="00507370"/>
    <w:rsid w:val="00507371"/>
    <w:rsid w:val="00507771"/>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ED"/>
    <w:rsid w:val="00562913"/>
    <w:rsid w:val="00563FAA"/>
    <w:rsid w:val="005648FA"/>
    <w:rsid w:val="0056533C"/>
    <w:rsid w:val="00566D9E"/>
    <w:rsid w:val="005676E5"/>
    <w:rsid w:val="00570717"/>
    <w:rsid w:val="00570CCF"/>
    <w:rsid w:val="00572989"/>
    <w:rsid w:val="00573422"/>
    <w:rsid w:val="00573459"/>
    <w:rsid w:val="00573E5B"/>
    <w:rsid w:val="00573F42"/>
    <w:rsid w:val="00574066"/>
    <w:rsid w:val="005743A1"/>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6C8"/>
    <w:rsid w:val="005D77C8"/>
    <w:rsid w:val="005D7A51"/>
    <w:rsid w:val="005D7A5F"/>
    <w:rsid w:val="005E00EF"/>
    <w:rsid w:val="005E0688"/>
    <w:rsid w:val="005E13B8"/>
    <w:rsid w:val="005E13BD"/>
    <w:rsid w:val="005E152F"/>
    <w:rsid w:val="005E16B2"/>
    <w:rsid w:val="005E2FE6"/>
    <w:rsid w:val="005E3059"/>
    <w:rsid w:val="005E330C"/>
    <w:rsid w:val="005E33C8"/>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052"/>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C4C"/>
    <w:rsid w:val="006F62DF"/>
    <w:rsid w:val="006F74C9"/>
    <w:rsid w:val="006F7ABC"/>
    <w:rsid w:val="00700A2E"/>
    <w:rsid w:val="00701C68"/>
    <w:rsid w:val="0070345D"/>
    <w:rsid w:val="00704176"/>
    <w:rsid w:val="00704871"/>
    <w:rsid w:val="0070502E"/>
    <w:rsid w:val="00705C6B"/>
    <w:rsid w:val="00707239"/>
    <w:rsid w:val="00710AD2"/>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F8B"/>
    <w:rsid w:val="007401F9"/>
    <w:rsid w:val="007405D4"/>
    <w:rsid w:val="0074140C"/>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4E"/>
    <w:rsid w:val="00755FAD"/>
    <w:rsid w:val="007560D8"/>
    <w:rsid w:val="007568AF"/>
    <w:rsid w:val="0075733C"/>
    <w:rsid w:val="00760BF5"/>
    <w:rsid w:val="00761231"/>
    <w:rsid w:val="00761760"/>
    <w:rsid w:val="007617B1"/>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0A2"/>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1F19"/>
    <w:rsid w:val="007C25F5"/>
    <w:rsid w:val="007C272C"/>
    <w:rsid w:val="007C400B"/>
    <w:rsid w:val="007C44A4"/>
    <w:rsid w:val="007C4E2A"/>
    <w:rsid w:val="007C5235"/>
    <w:rsid w:val="007C671D"/>
    <w:rsid w:val="007C6C35"/>
    <w:rsid w:val="007C705F"/>
    <w:rsid w:val="007C7451"/>
    <w:rsid w:val="007C7A5A"/>
    <w:rsid w:val="007D0523"/>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DF0"/>
    <w:rsid w:val="007E1315"/>
    <w:rsid w:val="007E1EB5"/>
    <w:rsid w:val="007E1F05"/>
    <w:rsid w:val="007E3B01"/>
    <w:rsid w:val="007E3F98"/>
    <w:rsid w:val="007E40FA"/>
    <w:rsid w:val="007E48EB"/>
    <w:rsid w:val="007E5594"/>
    <w:rsid w:val="007E59BE"/>
    <w:rsid w:val="007E5C13"/>
    <w:rsid w:val="007E5C29"/>
    <w:rsid w:val="007F01AD"/>
    <w:rsid w:val="007F11E8"/>
    <w:rsid w:val="007F1B0A"/>
    <w:rsid w:val="007F2A72"/>
    <w:rsid w:val="007F399F"/>
    <w:rsid w:val="007F4CAA"/>
    <w:rsid w:val="007F6BD0"/>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AF"/>
    <w:rsid w:val="00812443"/>
    <w:rsid w:val="008131A7"/>
    <w:rsid w:val="00813368"/>
    <w:rsid w:val="0081356B"/>
    <w:rsid w:val="00814CAC"/>
    <w:rsid w:val="00816212"/>
    <w:rsid w:val="00816960"/>
    <w:rsid w:val="008215C0"/>
    <w:rsid w:val="00822799"/>
    <w:rsid w:val="00823310"/>
    <w:rsid w:val="008235E0"/>
    <w:rsid w:val="008239BD"/>
    <w:rsid w:val="00823F52"/>
    <w:rsid w:val="008252B2"/>
    <w:rsid w:val="00825AB2"/>
    <w:rsid w:val="00825AB4"/>
    <w:rsid w:val="008263F3"/>
    <w:rsid w:val="00827905"/>
    <w:rsid w:val="00827FAB"/>
    <w:rsid w:val="00830386"/>
    <w:rsid w:val="00831776"/>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CFF"/>
    <w:rsid w:val="00847898"/>
    <w:rsid w:val="00850BB8"/>
    <w:rsid w:val="00850D4F"/>
    <w:rsid w:val="0085217E"/>
    <w:rsid w:val="00852722"/>
    <w:rsid w:val="00853D02"/>
    <w:rsid w:val="00853DF0"/>
    <w:rsid w:val="00854083"/>
    <w:rsid w:val="008557CA"/>
    <w:rsid w:val="008561CD"/>
    <w:rsid w:val="0085772A"/>
    <w:rsid w:val="00857E11"/>
    <w:rsid w:val="00860281"/>
    <w:rsid w:val="00860BB5"/>
    <w:rsid w:val="008616A7"/>
    <w:rsid w:val="00862428"/>
    <w:rsid w:val="0086286D"/>
    <w:rsid w:val="00863506"/>
    <w:rsid w:val="0086368B"/>
    <w:rsid w:val="00864A1D"/>
    <w:rsid w:val="00864B41"/>
    <w:rsid w:val="00864C11"/>
    <w:rsid w:val="008650AF"/>
    <w:rsid w:val="00865500"/>
    <w:rsid w:val="008664C1"/>
    <w:rsid w:val="00866950"/>
    <w:rsid w:val="00866DF4"/>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2F9"/>
    <w:rsid w:val="00926B80"/>
    <w:rsid w:val="009276A6"/>
    <w:rsid w:val="00927CA7"/>
    <w:rsid w:val="00927D07"/>
    <w:rsid w:val="00927FE7"/>
    <w:rsid w:val="00930750"/>
    <w:rsid w:val="00930E24"/>
    <w:rsid w:val="00931E87"/>
    <w:rsid w:val="0093216B"/>
    <w:rsid w:val="0093312C"/>
    <w:rsid w:val="009343D9"/>
    <w:rsid w:val="00934587"/>
    <w:rsid w:val="00935A01"/>
    <w:rsid w:val="00936A2A"/>
    <w:rsid w:val="00936E08"/>
    <w:rsid w:val="00937D8B"/>
    <w:rsid w:val="00940F6A"/>
    <w:rsid w:val="00941A3B"/>
    <w:rsid w:val="00942520"/>
    <w:rsid w:val="009433B6"/>
    <w:rsid w:val="00944163"/>
    <w:rsid w:val="00944BBE"/>
    <w:rsid w:val="00944DE1"/>
    <w:rsid w:val="0094541E"/>
    <w:rsid w:val="00945F4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B04A7"/>
    <w:rsid w:val="009B0660"/>
    <w:rsid w:val="009B0C7B"/>
    <w:rsid w:val="009B1176"/>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F85"/>
    <w:rsid w:val="009E2282"/>
    <w:rsid w:val="009E277D"/>
    <w:rsid w:val="009E34EA"/>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75"/>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72C"/>
    <w:rsid w:val="00A917D7"/>
    <w:rsid w:val="00A95718"/>
    <w:rsid w:val="00A9632E"/>
    <w:rsid w:val="00AA0705"/>
    <w:rsid w:val="00AA0AB6"/>
    <w:rsid w:val="00AA1630"/>
    <w:rsid w:val="00AA1887"/>
    <w:rsid w:val="00AA273F"/>
    <w:rsid w:val="00AA2C42"/>
    <w:rsid w:val="00AA3440"/>
    <w:rsid w:val="00AA357A"/>
    <w:rsid w:val="00AA3820"/>
    <w:rsid w:val="00AA40E2"/>
    <w:rsid w:val="00AA41DD"/>
    <w:rsid w:val="00AA4B19"/>
    <w:rsid w:val="00AA4E33"/>
    <w:rsid w:val="00AA55F3"/>
    <w:rsid w:val="00AA652E"/>
    <w:rsid w:val="00AA680A"/>
    <w:rsid w:val="00AA6CDC"/>
    <w:rsid w:val="00AA7239"/>
    <w:rsid w:val="00AA7709"/>
    <w:rsid w:val="00AA7AA1"/>
    <w:rsid w:val="00AB0065"/>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1BBA"/>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688F"/>
    <w:rsid w:val="00B06F7F"/>
    <w:rsid w:val="00B07E27"/>
    <w:rsid w:val="00B07FC3"/>
    <w:rsid w:val="00B10046"/>
    <w:rsid w:val="00B10EA6"/>
    <w:rsid w:val="00B10F04"/>
    <w:rsid w:val="00B10FE0"/>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C89"/>
    <w:rsid w:val="00B81A34"/>
    <w:rsid w:val="00B81B6B"/>
    <w:rsid w:val="00B83804"/>
    <w:rsid w:val="00B84105"/>
    <w:rsid w:val="00B843B3"/>
    <w:rsid w:val="00B84B06"/>
    <w:rsid w:val="00B868D3"/>
    <w:rsid w:val="00B877DB"/>
    <w:rsid w:val="00B902E4"/>
    <w:rsid w:val="00B91EC0"/>
    <w:rsid w:val="00B91EE0"/>
    <w:rsid w:val="00B94738"/>
    <w:rsid w:val="00B94A05"/>
    <w:rsid w:val="00B95350"/>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2B9"/>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8B9"/>
    <w:rsid w:val="00BE0D56"/>
    <w:rsid w:val="00BE1D44"/>
    <w:rsid w:val="00BE1DA5"/>
    <w:rsid w:val="00BE271F"/>
    <w:rsid w:val="00BE33D1"/>
    <w:rsid w:val="00BE386C"/>
    <w:rsid w:val="00BE3EF2"/>
    <w:rsid w:val="00BE4003"/>
    <w:rsid w:val="00BE548E"/>
    <w:rsid w:val="00BE553A"/>
    <w:rsid w:val="00BE75CB"/>
    <w:rsid w:val="00BE7FBE"/>
    <w:rsid w:val="00BF0883"/>
    <w:rsid w:val="00BF0B74"/>
    <w:rsid w:val="00BF14F1"/>
    <w:rsid w:val="00BF20BB"/>
    <w:rsid w:val="00BF21BC"/>
    <w:rsid w:val="00BF31EA"/>
    <w:rsid w:val="00BF3C77"/>
    <w:rsid w:val="00BF3FF2"/>
    <w:rsid w:val="00BF4C72"/>
    <w:rsid w:val="00BF502A"/>
    <w:rsid w:val="00BF57AF"/>
    <w:rsid w:val="00BF5B75"/>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6416"/>
    <w:rsid w:val="00C17596"/>
    <w:rsid w:val="00C22631"/>
    <w:rsid w:val="00C22CE8"/>
    <w:rsid w:val="00C23522"/>
    <w:rsid w:val="00C23EB1"/>
    <w:rsid w:val="00C23F9E"/>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06B"/>
    <w:rsid w:val="00C64DC6"/>
    <w:rsid w:val="00C65108"/>
    <w:rsid w:val="00C6663A"/>
    <w:rsid w:val="00C668A4"/>
    <w:rsid w:val="00C668E0"/>
    <w:rsid w:val="00C66C64"/>
    <w:rsid w:val="00C66FA9"/>
    <w:rsid w:val="00C67884"/>
    <w:rsid w:val="00C678E7"/>
    <w:rsid w:val="00C67A17"/>
    <w:rsid w:val="00C70720"/>
    <w:rsid w:val="00C7083B"/>
    <w:rsid w:val="00C70BCD"/>
    <w:rsid w:val="00C7102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4485"/>
    <w:rsid w:val="00C8470F"/>
    <w:rsid w:val="00C84EE0"/>
    <w:rsid w:val="00C861A1"/>
    <w:rsid w:val="00C86763"/>
    <w:rsid w:val="00C86BA7"/>
    <w:rsid w:val="00C87765"/>
    <w:rsid w:val="00C9013C"/>
    <w:rsid w:val="00C90C1B"/>
    <w:rsid w:val="00C925AD"/>
    <w:rsid w:val="00C92765"/>
    <w:rsid w:val="00C92CEB"/>
    <w:rsid w:val="00C939C2"/>
    <w:rsid w:val="00C9419D"/>
    <w:rsid w:val="00C952AB"/>
    <w:rsid w:val="00C96180"/>
    <w:rsid w:val="00C972B6"/>
    <w:rsid w:val="00C979A2"/>
    <w:rsid w:val="00C97B43"/>
    <w:rsid w:val="00C97DDA"/>
    <w:rsid w:val="00C97EA9"/>
    <w:rsid w:val="00CA01CE"/>
    <w:rsid w:val="00CA06FA"/>
    <w:rsid w:val="00CA2795"/>
    <w:rsid w:val="00CA30AD"/>
    <w:rsid w:val="00CA3B16"/>
    <w:rsid w:val="00CA40B4"/>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1E43"/>
    <w:rsid w:val="00CC29DA"/>
    <w:rsid w:val="00CC2F17"/>
    <w:rsid w:val="00CC3070"/>
    <w:rsid w:val="00CC32B4"/>
    <w:rsid w:val="00CC38C5"/>
    <w:rsid w:val="00CC47B1"/>
    <w:rsid w:val="00CC6256"/>
    <w:rsid w:val="00CC68A7"/>
    <w:rsid w:val="00CD117F"/>
    <w:rsid w:val="00CD121C"/>
    <w:rsid w:val="00CD320A"/>
    <w:rsid w:val="00CD4678"/>
    <w:rsid w:val="00CD4EDC"/>
    <w:rsid w:val="00CD4F8E"/>
    <w:rsid w:val="00CD547E"/>
    <w:rsid w:val="00CD56A1"/>
    <w:rsid w:val="00CD6DA7"/>
    <w:rsid w:val="00CE0C57"/>
    <w:rsid w:val="00CE1871"/>
    <w:rsid w:val="00CE20F5"/>
    <w:rsid w:val="00CE245E"/>
    <w:rsid w:val="00CE247F"/>
    <w:rsid w:val="00CE2825"/>
    <w:rsid w:val="00CE31C9"/>
    <w:rsid w:val="00CE44A9"/>
    <w:rsid w:val="00CE44C8"/>
    <w:rsid w:val="00CE455A"/>
    <w:rsid w:val="00CE457F"/>
    <w:rsid w:val="00CE6E6A"/>
    <w:rsid w:val="00CE7E0C"/>
    <w:rsid w:val="00CF00AC"/>
    <w:rsid w:val="00CF13B1"/>
    <w:rsid w:val="00CF1485"/>
    <w:rsid w:val="00CF173C"/>
    <w:rsid w:val="00CF19E6"/>
    <w:rsid w:val="00CF2E43"/>
    <w:rsid w:val="00CF3309"/>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682"/>
    <w:rsid w:val="00D2478D"/>
    <w:rsid w:val="00D250D7"/>
    <w:rsid w:val="00D25162"/>
    <w:rsid w:val="00D26A14"/>
    <w:rsid w:val="00D26FB9"/>
    <w:rsid w:val="00D27BC7"/>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CBB"/>
    <w:rsid w:val="00E62E5C"/>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109D"/>
    <w:rsid w:val="00E81F7B"/>
    <w:rsid w:val="00E81FD4"/>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5290"/>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3896"/>
    <w:rsid w:val="00EE4BD8"/>
    <w:rsid w:val="00EE5025"/>
    <w:rsid w:val="00EE5914"/>
    <w:rsid w:val="00EE5F31"/>
    <w:rsid w:val="00EE72F4"/>
    <w:rsid w:val="00EE7794"/>
    <w:rsid w:val="00EF0518"/>
    <w:rsid w:val="00EF0C76"/>
    <w:rsid w:val="00EF1001"/>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1F78"/>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2DE8"/>
    <w:rsid w:val="00F5314F"/>
    <w:rsid w:val="00F54044"/>
    <w:rsid w:val="00F555BB"/>
    <w:rsid w:val="00F56513"/>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E6F"/>
    <w:rsid w:val="00F752DB"/>
    <w:rsid w:val="00F7689B"/>
    <w:rsid w:val="00F76D09"/>
    <w:rsid w:val="00F77D6E"/>
    <w:rsid w:val="00F80496"/>
    <w:rsid w:val="00F808D1"/>
    <w:rsid w:val="00F808F0"/>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176C"/>
    <w:rsid w:val="00FB1B96"/>
    <w:rsid w:val="00FB1C7D"/>
    <w:rsid w:val="00FB2320"/>
    <w:rsid w:val="00FB2BFB"/>
    <w:rsid w:val="00FB379A"/>
    <w:rsid w:val="00FB3925"/>
    <w:rsid w:val="00FB3F79"/>
    <w:rsid w:val="00FB40B8"/>
    <w:rsid w:val="00FB4288"/>
    <w:rsid w:val="00FB4332"/>
    <w:rsid w:val="00FB4F29"/>
    <w:rsid w:val="00FB7037"/>
    <w:rsid w:val="00FB7727"/>
    <w:rsid w:val="00FC0E33"/>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2E4F-3106-4471-B787-BE79EF64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6838</Words>
  <Characters>41032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praca</cp:lastModifiedBy>
  <cp:revision>2</cp:revision>
  <cp:lastPrinted>2023-03-09T08:40:00Z</cp:lastPrinted>
  <dcterms:created xsi:type="dcterms:W3CDTF">2023-11-22T16:25:00Z</dcterms:created>
  <dcterms:modified xsi:type="dcterms:W3CDTF">2023-11-22T16:25:00Z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