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50" w:rsidRPr="00DA0FC3" w:rsidRDefault="00423C50" w:rsidP="00423C50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423C50" w:rsidRPr="00A83D35" w:rsidRDefault="00423C50" w:rsidP="00423C50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423C50" w:rsidRPr="00A83D35" w:rsidRDefault="00423C50" w:rsidP="00423C50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802B51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737B90" w:rsidP="00423C50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7B9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Budowa monitoringu dla Miasta Darłowo</w:t>
      </w:r>
    </w:p>
    <w:p w:rsidR="00423C50" w:rsidRPr="00A83D35" w:rsidRDefault="00423C50" w:rsidP="00423C50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23C50" w:rsidRPr="00A83D35" w:rsidRDefault="00423C50" w:rsidP="00423C50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423C50" w:rsidRPr="00A83D35" w:rsidRDefault="00423C50" w:rsidP="00423C50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23C50" w:rsidRPr="00A83D35" w:rsidRDefault="00423C50" w:rsidP="00423C50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423C50" w:rsidRPr="00A83D35" w:rsidRDefault="00423C50" w:rsidP="00423C50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423C50" w:rsidRPr="00A83D35" w:rsidRDefault="00423C50" w:rsidP="00423C50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23C50" w:rsidRPr="00A83D35" w:rsidRDefault="00423C50" w:rsidP="00423C5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423C50" w:rsidRPr="00A83D35" w:rsidRDefault="00423C50" w:rsidP="00423C5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423C50">
        <w:rPr>
          <w:rFonts w:ascii="Tahoma" w:hAnsi="Tahoma" w:cs="Tahoma"/>
          <w:b/>
          <w:sz w:val="20"/>
          <w:szCs w:val="20"/>
          <w:lang w:eastAsia="pl-PL"/>
        </w:rPr>
        <w:t>czas reakcji serwisu na zgłoszoną usterkę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 xml:space="preserve">PROPONUJĘ/PROPONUJEMY </w:t>
      </w:r>
      <w:r w:rsidR="00737B90">
        <w:rPr>
          <w:rFonts w:ascii="Tahoma" w:eastAsia="Times New Roman" w:hAnsi="Tahoma" w:cs="Tahoma"/>
          <w:sz w:val="20"/>
          <w:szCs w:val="20"/>
          <w:lang w:eastAsia="pl-PL"/>
        </w:rPr>
        <w:t>czas reakcji na zgłoszoną usterkę w terminie</w:t>
      </w:r>
      <w:r w:rsidRPr="00423C5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…………..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jej zgłoszenia</w:t>
      </w: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1C3E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Oferujemy dostawę niżej wymienionego sprzętu:</w:t>
      </w: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1 szt. rejestratora o niżej wymienionych minimalnych paramentach technicznych: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915"/>
        <w:gridCol w:w="3472"/>
      </w:tblGrid>
      <w:tr w:rsidR="00423C50" w:rsidRPr="00D61CCE" w:rsidTr="00C76B1D">
        <w:trPr>
          <w:cantSplit/>
          <w:tblHeader/>
        </w:trPr>
        <w:tc>
          <w:tcPr>
            <w:tcW w:w="2389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915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72" w:type="dxa"/>
          </w:tcPr>
          <w:p w:rsidR="00423C50" w:rsidRPr="004938D8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Procesor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Wbudowany procesor klasy przemysłowej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Interface zarządzania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WEB / lokalny GUI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Funkcje sztucznej inteligencji (AI)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Realizowane przez NVR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perymetryczna (przekroczenie linii, wtargnięcie i inne), detekcja twarzy, rozpoznawanie twarzy, wideo metadane (ludzie, pojazdy,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niemechaniczne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pojazdy), SMD+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perymetryczna (przekroczenie linii, wtargnięcie i inne), detekcja twarzy, rozpoznawanie twarzy, wideo metadane (ludzie, pojazdy,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niemechaniczne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pojazdy), ANPR (baza + biała / czarna lista), zliczanie osób, mapa występowania tłumu, analiza stereo, mapa ciepła, gęstość występowania pojazdów, monitorowanie obiektu, SMD+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AI z kamer IPC (kamera musi posiadać funkcje!) + NVR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Maks. 64 kanały, 1 zdarzenie na kanał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Ochrona perymetryczna (AI)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32 kanały (po 10 reguł IVS na każdy kanał)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24 kanały (po 10 reguł IVS na każdy kanał)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Wykrywanie ludzkiej twarzy (Face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Detection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Informacje dotyczące twarzy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Obsługa cech: płeć, wiek, mimika twarzy, okulary, broda, maska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8 kanałów (do 12 zdjęć twarzy na sekundę na każdy kanał)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5 kanałów (do 12 zdjęć twarzy na sekundę na każdy kanał)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Rozpoznawanie ludzkiej twarzy (Face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Recognition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Pojemność bazy danych twarzy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min.20 baz danych z twarzami (min 100000 zdjęć)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Całkowita pojemność: min. 24GB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Możliwość przypisania do zdjęcia twarzy: imię, nazwisko, płeć, wiek, data urodzenia, adres, rodzaj poświadczenia, numer poświadczenia, kraj, region, stan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32 kanały FD - wykrywanie twarzy (poprzez kamery IPC) + FR - rozpoznawanie twarzy (realizowane przez NVR AI) - do 32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8 kanałów FD - wykrywanie twarzy (realizowane przez NVR AI) + FR - rozpoznawanie twarzy (realizowane przez NVR AI) - do 16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16 kanałów FD - wykrywanie twarzy (poprzez kamery IPC) + FR - rozpoznawanie twarzy (realizowane przez NVR AI) - do 16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5 kanałów FD - wykrywanie twarzy (realizowane przez NVR AI) + FR - rozpoznawanie twarzy (realizowane przez NVR AI) - do 10 zdjęć twarzy na sekundę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SMD+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32 kanały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Filtrowanie dla pojazdów i ludzi, filtrowanie fałszywych alarmów wywołanych zwierzętami, liśćmi, światłami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(AI w kamerze)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Wideo metadane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8 kanałów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Atrybuty człowieka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Kolor górnej części, rodzaj górnej części, kolor dolnej części, rodzaj dolnej części, nakrycie głowy, torba (plecak), wiek, płeć, parasol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Atrybuty pojazdu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Tablica rejestracyjna, kolor tablicy rejestracyjnej, typ nadwozia, marka pojazdu, przedmioty dekoracyjne w pojeździe, miejsce rejestracji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Atrybuty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niemechanicznego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 pojazdu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Model pojazdu, kolor pojazdu, liczba osób, kask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Porównanie tablic rejestracyjnych pojazdów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Brak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Baza danych tablic rejestracyjnych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1. Możliwość utworzenia min 10000 numerów rejestracyjnych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2. Lista zablokowanych (czarna lista) i dozwolonych (biała lista)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Wideo parametry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kamer IP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(przechwytywanie obrazu)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Maksymalny strumień danych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wyłączone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wejściowe: min. 1200Mbps (maksymalna ilości informacji, jaka może być przesyłana do NVR)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nagrywania: min. 1200Mbps (maksymalna ilości informacji, jaka może zostać zapisana w pamięci lokalnej NVR)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wyjściowe: min. 1000Mbps (maksymalna ilości informacji, jaka może być wysłana z NVR)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wejściowe: min. 600Mbps (maksymalna ilości informacji, jaka może być przesyłana do NVR)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nagrywania: min. 600Mbps (maksymalna ilości informacji, jaka może zostać zapisana w pamięci lokalnej NVR)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wyjściowe: min. 500Mbps (maksymalna ilości informacji, jaka może być wysłana z NVR)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Rozdzielczość dekodowania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32Mpx / 24Mpx / 16Mpx / 12Mpx / 8Mpx - 4K / 5Mpx / 4Mpx / 2Mpx - 1080p / 1Mpx - 720p / D1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Min. dolność dekodowania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wyłączone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 kan. @ 32MP (30kl/s) / 2 kan.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@ 24MP (30kl/s) / 4 kan. @ 16MP (30kl/s) / 5 kan. @ 12MP (30kl/s) / 8 kan. @ 8MP (30kl/s) / 12 kan. @ 5MP (30kl/s) / 16 kan. @ 4MP (30kl/s) / 32 kan. @ 2MP (30kl/s)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da-DK" w:eastAsia="pl-PL"/>
              </w:rPr>
              <w:t>Funkcje AI włączone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br/>
              <w:t xml:space="preserve">1 kan. @ 32MP (30kl/s) / 1 kan. @ 24MP (30kl/s) / 2 kan. @ 16MP (30kl/s) / 2 kan. @ 12MP (30kl/s) / 4 kan. @ 8MP (30kl/s) / 6 kan. @ 5MP (30kl/s) / 8 kan. @ 4MP (30kl/s) / 16 kan.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@ 2MP (30kl/s)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Wyjścia wideo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1x VGA, 3x HDMI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Obsługiwane rozdzielczości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VGA: 1920x1080, 1280x1024, 1280x720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HDMI1 / HDMI2: 3840x2160, 1920x1080, 1280x1024, 1280x720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HDMI3: 7680x4320, 3840x2160, 1920x1080, 1280x1024, 1280x720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 (maks. rozdzielczość)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VGA1: Full HD 1080p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HDMI1 i HDMI2: 4K UHD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Wyjście HDMI3: 8K UHD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 (maks. rozdzielczość)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Jednoczesna praca wyjść VGA1 i HDMI1</w:t>
            </w:r>
          </w:p>
          <w:p w:rsidR="00423C50" w:rsidRPr="00D61CCE" w:rsidRDefault="00423C50" w:rsidP="00C76B1D">
            <w:pPr>
              <w:numPr>
                <w:ilvl w:val="0"/>
                <w:numId w:val="9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HDMI1, HDMI2 i HDMI3: 4K UHD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Wyświetlanie wieloekranowe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Główny ekran: 1 / 4 / 8 / 9 / 16 / 25 / 36 / 64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Drugi ekran: 1 / 4 / 8 / 9 / 16 / 25 / 36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Wsparcie urządzeń innych producentów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Panasonic, Sony, Samsung,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Axis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Pelco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Arecont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ONVIF, Canon, RTSP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Kompresja</w:t>
            </w:r>
          </w:p>
        </w:tc>
      </w:tr>
      <w:tr w:rsidR="00423C50" w:rsidRPr="002E0EE1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Kompresja wideo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H.265+ (Smart) / H.264+ (Smart) / H.265 / H.264 / MJPEG / MPEG4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Kompresja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G.711A / G.711U / PCM / G.726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Sieć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Obsługiwane protokoły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HTTP, HTTPS, TCP/IP, IPv4, RTSP, UDP, NTP, DHCP, DNS, SMTP,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UPnP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DDNS, Alarm Server, wyszukiwanie IP (wsparcie dla urządzeń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Dahua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), Multicast, P2P, automatyczna rejestracja, ISCSI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Mobilna obsługa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DMSS, DSS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ONVIF (Profil S / Profil G / Profil T), CGI, SDK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przez przeglądarki www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Chrome, 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Firefox</w:t>
            </w:r>
            <w:proofErr w:type="spellEnd"/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Odtwarzanie nagrań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Zdolność odtwarzania kanałów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kanałów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nagrywania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Detekcja ruchu / ręczne nagrywanie / alarm / harmonogram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Metody kopii zapasowej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Peryferyjne urządzenie magazynujące USB (np. Pendrive), sieć, przenośny dysk HDD, dysk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eSata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nagrywarka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odtwarzania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1. Odtwórz, pauza, stop, przewiń do przodu, przewiń do tyłu, klatka po klatce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2. pełny ekran, kopia zapasowa, zoom cyfrowy, włączanie / wyłączanie dźwięku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Magazynowanie (HDD)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dysków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8x port SATA (maksymalna pojemność jednego dysku 16TB)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RAID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RAID 0/1/5/6/10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Hot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Swapping</w:t>
            </w:r>
            <w:proofErr w:type="spellEnd"/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Wsparcie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 ogólny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Detekcja ruchu, zmiana sceny, utrata sygnału wideo, alarm lokalny, alarm z kamery IPC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Alarm anomalii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Brak komunikacji z kamerą, błąd pamięci, pełny HDD, konflikt IP, konflikt MAC, blokada logowania, nietypowe zachowanie wentylatora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 z inteligentnych funkcji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obwodowa, (wtargnięcie, przekroczenie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lini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), wykrywanie twarzy, rozpoznawanie twarzy, zliczanie osób, ANPR, mapa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występowannia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tłumu, analiza stereo, mapa ciepła, SMD+ alarm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Wyzwalanie reakcji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Nagrywanie, zdjęcie,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wyjscia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alarmowe z kamer IPC, audio,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buzer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zapis w logu, email, trasa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Interfejsy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Wejście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kanał (port RCA)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Wyjście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kanał (port RCA)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dysków HDD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8x port SATA (maksymalna pojemność jednego dysku 16TB)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eSata</w:t>
            </w:r>
            <w:proofErr w:type="spellEnd"/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RS232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RS485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 A/B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USB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 porty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ver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. 2,0) na przednim panelu + min. 2 porty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ver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. 3,0) na tylnym panelu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HDMI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 porty (HDMI1 / HDMI2 - wyjście 4K UHD, HDMI3 - wyjście 8K)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VGA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Ethernet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2x RJ45 10/100/1000/2500Mbps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Pozostałe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AC 230V (100V ~ 240V), 50Hz ~ 60Hz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maks. 30W (bez HDD)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Sposób instalacji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Montaż w szafie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Rack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19”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Certyfikaty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CE, FCC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Pr="00A76AD0" w:rsidRDefault="00423C50" w:rsidP="00423C50">
      <w:pPr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 szt. dysków twardych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3" w:type="dxa"/>
        <w:tblLook w:val="04A0" w:firstRow="1" w:lastRow="0" w:firstColumn="1" w:lastColumn="0" w:noHBand="0" w:noVBand="1"/>
      </w:tblPr>
      <w:tblGrid>
        <w:gridCol w:w="2969"/>
        <w:gridCol w:w="3402"/>
        <w:gridCol w:w="3402"/>
      </w:tblGrid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D61CCE" w:rsidRDefault="00423C50" w:rsidP="004938D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(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Wykonawca obowiązany jest podać konkretny, rzeczywisty parametr techniczny dotyczący oferowanego sprzętu)</w:t>
            </w: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Dedykowany do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monitoring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Typ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HDD (magnetyczny)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Format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3.5 cala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Interfejs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Serial ATA III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Pojemność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12 TB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Prędkość obrotowa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 xml:space="preserve">min. 7200 </w:t>
            </w:r>
            <w:proofErr w:type="spellStart"/>
            <w:r w:rsidRPr="00D61CCE">
              <w:rPr>
                <w:rFonts w:ascii="Tahoma" w:hAnsi="Tahoma" w:cs="Tahoma"/>
                <w:sz w:val="19"/>
                <w:szCs w:val="19"/>
              </w:rPr>
              <w:t>obr</w:t>
            </w:r>
            <w:proofErr w:type="spellEnd"/>
            <w:r w:rsidRPr="00D61CCE">
              <w:rPr>
                <w:rFonts w:ascii="Tahoma" w:hAnsi="Tahoma" w:cs="Tahoma"/>
                <w:sz w:val="19"/>
                <w:szCs w:val="19"/>
              </w:rPr>
              <w:t>./min.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Pamięć cache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256 MB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Maksymalny transfer zewnętrzny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240 MB/s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Wytrzymałość na wstrząsy w czasie pracy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60 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Wytrzymałość na wstrząsy w czasie spoczynku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240 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lastRenderedPageBreak/>
              <w:t>Niezawodność MTBF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2000000 godz.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szt. manipulatora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3511"/>
        <w:gridCol w:w="3402"/>
      </w:tblGrid>
      <w:tr w:rsidR="00423C50" w:rsidRPr="002E0EE1" w:rsidTr="00C76B1D">
        <w:tc>
          <w:tcPr>
            <w:tcW w:w="2863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511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Przyciski klawiatury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Elektromechaniczne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Joystick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3-osiowy, obrotowy, powrót do pozycji początkowej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1xRS232, 1xRS485, 1x RS422, 1xUSB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 sieciowy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1x RJ45 Ethernet (10/100Mbps)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Komunikacja klawiatury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Tryb bezpośredni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Tryb sieciowy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bezpośredni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Interfejs: RS232 (do 10 m) / RS485 (do 1200 m)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Protokół dla rejestratorów (DVR / XVR): DH-2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Protokół dla kamer: DH-SD1 / PELCO-D / PELCO-P i inne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sieciowy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Interfejs: RJ45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Protokół dla rejestratorów (NVR) i kamer: adres IP / port / protokół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dla PTZ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Preset, autoskan, pattern, trasa, menu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Wyświetlacz)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LCD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Użytkownicy online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(w tym "admin")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Liczba adresów RS485</w:t>
            </w: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 xml:space="preserve">(każdy użytkownik) 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256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Obsługa maks. liczby kamer w jednej sieci (każdy użytkownik) 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1024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szt. przełącznika sieciowego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423C50" w:rsidRPr="00D61CCE" w:rsidTr="00C76B1D">
        <w:trPr>
          <w:cantSplit/>
          <w:tblHeader/>
        </w:trPr>
        <w:tc>
          <w:tcPr>
            <w:tcW w:w="2830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544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CECHY SPRZĘTOWE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Porty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20 Gigabitowych portów SFP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4 Gigabitowe porty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combo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SFP/RJ45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4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Sloty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10G SFP+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1 port konsolowy RJ45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1 port konsolowy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microUSB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Zasilanie redundantne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100-240 V AC~50/60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Hz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Montaż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Montaż w szafie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Rack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19”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Maks. zużycie energii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40 W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WYDAJNOŚĆ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Wydajność przełączania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128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Gb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/s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Szybkość przekierowań pakietów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90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Mpps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Tablica adresów MAC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K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FUNKCJE OPROGRAMOWANIA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Cechy przełącznika L3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128 interfejsów IPv4/IPv6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Routing statyczny – min. 48 tras statycznych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Wpisy statyczne ARP – min. 128 wpisów statycznych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Proxy ARP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Gratuitous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ARP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Serwer DHCP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DHCP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DHCP Interface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DHCP VLAN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DHCP L2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L2 i L2+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Agregacja łączy: min. 4 grup agregacji i do min. 4 portów na grupę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Wykrywanie pętli zwrotnych oparte na portach i na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Kontrola przepływu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Mirroring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L2 Multicast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• IGMP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Snooping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Uwierzytelnianie IGMP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MVR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MLD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Snooping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Filtrowanie transmisji Multicast: min. 128 profili i min. 8 wpisów na profil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zaawansowane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Automatyczne wykrywanie urządzeń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Konfiguracje grupowe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Grupowe aktualizacje oprogramowania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Inteligentne monitorowanie stanu sieci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Ostrzeżenia o nietypowych zdarzeniach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Ujednolicony proces konfiguracji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Harmonogram restartu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Sieci VLAN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Grupy VLAN: min. 2k grup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Tagowanie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802.1Q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Adres MAC VLAN: min. 20 wpisów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Protokół VLAN: Szablon protokołu 16, Protokół VLAN 16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Prywatna sieć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GVRP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VLAN VPN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QinQ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Głosowa sieć VLAN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Bezpieczeństwo transmisji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• Wiązanie adresów IP, MAC i portów: min. 512 wpisów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Wiązanie adresów IPv6, MAC i portów: min. 512 wpisów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Ochrona przed atakami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DoS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Uwierzytelnianie 802.1X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w oparciu o port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w oparciu o adres MAC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Przydzielanie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MAB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Sieć VLAN dla gości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i autoryzowanie poprzez Radius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AAA (w tym TACACS+)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Izolacja portów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Bezpieczne zarządzanie webowe poprzez HTTPS z szyfrowaniem SSLv3/TLS 1.2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Bezpieczne zarządzanie CLI z szyfrowaniem SSHv1/SSHv2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Kontrola dostępu w oparciu o IP/port/MAC</w:t>
            </w:r>
          </w:p>
        </w:tc>
        <w:tc>
          <w:tcPr>
            <w:tcW w:w="3402" w:type="dxa"/>
          </w:tcPr>
          <w:p w:rsidR="00423C50" w:rsidRPr="00D61CCE" w:rsidRDefault="00423C50" w:rsidP="004938D8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MIB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Bazy danych MIB II (RFC1213)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Interfejs MIB (RFC2233)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Port Ethernet MIB (RFC1643)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Bridge MIB (RFC1493)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P/Q-Bridge MIB (RFC2674)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RMON MIB (RFC2819)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RMON2 MIB (RFC2021)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Radius Accounting Client MIB (RFC2620)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Radius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Authentication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Client MIB (RFC2618)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Pakiety Ping i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Traceroute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do interfejsu MIB (RFC2925)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Obsługa prywatnych baz danych MIB TP-Link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panelu zarządzania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Interfejs graficzny GUI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Interfejs linii poleceń CLI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SNMP v1/v2c/v3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Klient DHCP/BOOTP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802.1ab LLDP/LLDP-MED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Autoinstalacja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DHCP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Dual Image, Dual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Configuration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Monitorowanie zużycia procesora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Diagnostyka kabli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SNTP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Logi systemowe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INNE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Certyfikaty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CE, FCC,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RoHS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szt. UPS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48"/>
        <w:gridCol w:w="3710"/>
        <w:gridCol w:w="3118"/>
      </w:tblGrid>
      <w:tr w:rsidR="00423C50" w:rsidRPr="002E0EE1" w:rsidTr="00C76B1D">
        <w:trPr>
          <w:tblHeader/>
        </w:trPr>
        <w:tc>
          <w:tcPr>
            <w:tcW w:w="2948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lastRenderedPageBreak/>
              <w:t>Opis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 xml:space="preserve">Typ </w:t>
            </w:r>
            <w:proofErr w:type="spellStart"/>
            <w:r w:rsidRPr="002E0EE1">
              <w:rPr>
                <w:rFonts w:ascii="Tahoma" w:hAnsi="Tahoma" w:cs="Tahoma"/>
                <w:b/>
                <w:sz w:val="19"/>
                <w:szCs w:val="19"/>
              </w:rPr>
              <w:t>UPS'a</w:t>
            </w:r>
            <w:proofErr w:type="spellEnd"/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On-line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Kształt fali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Czysta fala sinusoidalna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Moc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2400W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Moc znamionowa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3kVA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Napięcie wejściowe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115 - 300 VAC ± 5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Napięcie wyjściowe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220 VAC ± 1%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Zakres częstotliwości wejściowej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(45-55) ± 0.5Hz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Częstotliwość wyjściowa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46 - 54Hz ; 50Hz ± 1%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Wbudowana bateria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Tak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Możliwość podłączenia dodatkowego modułu baterii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Tak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Współczynnik mocy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min.0.8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Współczynnik szczytu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3:1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 xml:space="preserve">Przeciążenie 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105 - 125% przełączanie na bypass po 1 minucie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Gniazda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min. 2 x SCHUKO</w:t>
            </w: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br/>
              <w:t>1 x IEC</w:t>
            </w: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br/>
              <w:t>1 x RS 232</w:t>
            </w:r>
          </w:p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1 x RJ-45 (10M/100M Ethernet Port)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  <w:lang w:val="da-DK"/>
              </w:rPr>
              <w:t>Protokoły sieciowe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SNMP , TCP/IP, UDP, SMTP, SNTP, HTTP, HTTPS, SSL, SSH, IPV4/IPV6, DHCP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Wyświetlacz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LCD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Poziom hałasu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maks. 52dB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Zabezpieczenia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- Przed przepięciem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przeciążeniem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zwarciem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wysokim i niskim napięciem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Waga brutto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maks. 25 kg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Certyfikat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CE, ROHS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szt. komputerów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50"/>
        <w:gridCol w:w="3709"/>
        <w:gridCol w:w="3117"/>
      </w:tblGrid>
      <w:tr w:rsidR="00423C50" w:rsidRPr="002E0EE1" w:rsidTr="00C76B1D">
        <w:trPr>
          <w:cantSplit/>
          <w:tblHeader/>
        </w:trPr>
        <w:tc>
          <w:tcPr>
            <w:tcW w:w="2950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Procesor</w:t>
            </w:r>
          </w:p>
        </w:tc>
        <w:tc>
          <w:tcPr>
            <w:tcW w:w="3709" w:type="dxa"/>
          </w:tcPr>
          <w:p w:rsidR="00423C50" w:rsidRPr="002E0EE1" w:rsidRDefault="00C76B1D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23200 punktów w </w:t>
            </w:r>
            <w:proofErr w:type="spellStart"/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PassMark</w:t>
            </w:r>
            <w:proofErr w:type="spellEnd"/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CPU Mark z 13 maja 2024 roku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Pamięć RAM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min. 16 GB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Liczba gniazd pamięci (ogółem / wolne)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2/</w:t>
            </w:r>
            <w: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min. 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Karta graficzna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Zintegrowana karta graficzna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Wielkość pamięci karty graficznej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Pamięć współdzielona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 xml:space="preserve">Dysk SSD </w:t>
            </w:r>
            <w:proofErr w:type="spellStart"/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PCIe</w:t>
            </w:r>
            <w:proofErr w:type="spellEnd"/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256 GB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Opcje dołożenia dysków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Możliwość montażu dysku SATA 2.5"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Dźwięk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Zintegrowana karta dźwiękowa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Łączność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Wi-Fi 6E, LAN 10/100/1000 Mbps, Bluetooth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lastRenderedPageBreak/>
              <w:t>Złącza - panel przedni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USB 3.2 Gen. 1 – min. 2 szt.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Złącza - panel tylny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USB 2.0 – min. 2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USB 3.2 Gen. 1 -  min. 2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RJ-45 (LAN) – min. 1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HDMI -  min. 1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Display Port – min. 1 szt.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Zasilacz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maks. 100 W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Dodatkowe informacje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Wbudowany moduł TPM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System operacyjny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Microsoft Windows 10 Pro 64 bit lub system operacyjny klasy PC, który spełnia następujące wymagania poprzez wbudowane mechanizmy, bez użycia dodatkowych aplikacji: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Dostępne dwa rodzaje graficznego interfejsu użytkownika: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a.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Klasyczny, umożliwiający obsługę przy pomocy klawiatury i myszy,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b.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Dotykowy umożliwiający sterowanie dotykiem na urządzeniach typu tablet lub monitorach dotykowych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Interfejs użytkownika dostępny w wielu językach do wyboru – w tym polskim i angielskim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Wbudowane w system operacyjny minimum dwie przeglądarki Internetowe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Zlokalizowane w języku polskim, co najmniej następujące elementy: menu, pomoc, komunikaty systemowe, menedżer plików.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Graficzne środowisko instalacji i konfiguracji dostępne w języku polskim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pomocy w języku polskim.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przystosowania stanowiska dla osób niepełnosprawnych (np. słabo widzących).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Możliwość dokonywania aktualizacji i poprawek systemu poprzez mechanizm </w:t>
            </w: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zarządzany przez administratora systemu Zamawiającego.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Możliwość dostarczania poprawek do systemu operacyjnego w modelu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peer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-to-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peer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dołączenia systemu do usługi katalogowej on-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premise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lub w chmurze.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Umożliwienie zablokowania urządzenia w ramach danego konta tylko do uruchamiania wybranej aplikacji - tryb "kiosk".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Transakcyjny system plików pozwalający na stosowanie przydziałów (ang.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quota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 na dysku dla użytkowników oraz zapewniający większą niezawodność i pozwalający tworzyć kopie zapasowe.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przywracania obrazu plików systemowych do uprzednio zapisanej postaci.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przywracania systemu operacyjnego do stanu początkowego z pozostawieniem plików użytkownika.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24.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Wbudowany mechanizm wirtualizacji typu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hypervisor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."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Wbudowana możliwość zdalnego dostępu do systemu i pracy zdalnej z wykorzystaniem pełnego interfejsu graficznego.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Dostępność bezpłatnych biuletynów bezpieczeństwa związanych z działaniem systemu operacyjnego.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uwierzytelnienia dwuskładnikowego oparty o certyfikat lub klucz prywatny oraz PIN lub uwierzytelnienie biometryczne.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Wbudowane mechanizmy ochrony antywirusowej i przeciw złośliwemu oprogramowaniu z zapewnionymi bezpłatnymi aktualizacjami.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szyfrowania dysku twardego ze wsparciem modułu TPM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i przechowywania kopii zapasowych kluczy odzyskiwania do szyfrowania dysku w usługach katalogowych.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wirtualnych kart inteligentnych.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firmware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UEFI i funkcji bezpiecznego rozruchu (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Secure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Boot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Wbudowany w system, wykorzystywany automatycznie przez wbudowane przeglądarki filtr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reputacyjny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URL.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IPSEC oparte na politykach – wdrażanie IPSEC oparte na </w:t>
            </w: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zestawach reguł definiujących ustawienia zarządzanych w sposób centralny.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Mechanizmy logowania w oparciu o: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a.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Login i hasło,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b.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Karty inteligentne i certyfikaty (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smartcard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Wirtualne karty inteligentne i certyfikaty (logowanie w oparciu o certyfikat chroniony poprzez moduł TPM),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d.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Certyfikat/Klucz i PIN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e.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Certyfikat/Klucz i uwierzytelnienie biometryczne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uwierzytelniania na bazie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Kerberos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v. 5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agent do zbierania danych na temat zagrożeń na stacji roboczej.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Wsparcie .NET Framework 2.x, 3.x i 4.x – możliwość uruchomienia aplikacji działających we wskazanych środowiskach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VBScript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– możliwość uruchamiania interpretera poleceń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Wsparcie dla PowerShell 5.x – możliwość uruchamiania interpretera poleceń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lastRenderedPageBreak/>
              <w:t>Inne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Możliwość montażu przy użyciu uchwytów VESA 100 x 100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szt. monitora </w:t>
      </w:r>
      <w:r w:rsidRPr="00A76AD0">
        <w:rPr>
          <w:rFonts w:ascii="Tahoma" w:hAnsi="Tahoma" w:cs="Tahoma"/>
          <w:b/>
          <w:sz w:val="20"/>
          <w:szCs w:val="20"/>
        </w:rPr>
        <w:t>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686"/>
        <w:gridCol w:w="3118"/>
      </w:tblGrid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  <w:r w:rsidR="004938D8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 xml:space="preserve"> </w:t>
            </w:r>
            <w:r w:rsidR="004938D8">
              <w:rPr>
                <w:rFonts w:ascii="Tahoma" w:eastAsia="SimSun" w:hAnsi="Tahoma" w:cs="Tahoma"/>
                <w:b/>
                <w:bCs/>
                <w:color w:val="FF0000"/>
                <w:kern w:val="3"/>
                <w:sz w:val="19"/>
                <w:szCs w:val="19"/>
                <w:lang w:eastAsia="zh-CN" w:bidi="hi-IN"/>
              </w:rPr>
              <w:t>(Wykonawca obowiązany jest podać konkretny, rzeczywisty parametr techniczny dotyczący oferowanego sprzętu)</w:t>
            </w: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Przekątna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52"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Rodzaj matrycy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LED, IPS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Typ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Płaski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Rozdzielczość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3840 x 2160 (UHD 4K)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Format obrazu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16:9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Częstotliwość odświeżania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60 </w:t>
            </w:r>
            <w:proofErr w:type="spellStart"/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Hz</w:t>
            </w:r>
            <w:proofErr w:type="spellEnd"/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Liczba wyświetlanych kolorów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1,00 mld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Czas reakcji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10 ms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Jasność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340 cd/m²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Kontrast statyczny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1000:1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Kąt widzenia w poziomie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175 stopni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Kąt widzenia w pionie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175 stopni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Złącza: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VGA (D-sub)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lastRenderedPageBreak/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HDMI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2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Wejście audio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RJ-45 (LAN)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USB min. 2.0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RS-232C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Wyjście audio (RCA)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AC-in (wejście zasilania)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Wejście IR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Możliwość montażu na ścianie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VESA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 podczas pracy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130 W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 podczas spoczynku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2 W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Waga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15 kg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</w:t>
      </w:r>
      <w:r>
        <w:rPr>
          <w:rFonts w:ascii="Tahoma" w:eastAsia="Times New Roman" w:hAnsi="Tahoma" w:cs="Tahoma"/>
          <w:sz w:val="20"/>
          <w:szCs w:val="20"/>
          <w:lang w:eastAsia="pl-PL"/>
        </w:rPr>
        <w:t>dostarczony sprzęt zgodnie z niżej wymienionymi terminami:</w:t>
      </w: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UPS – 24 miesiące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Rejestrator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Przełączniki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Dyski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Monitor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Komputery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Manipulator -36 miesięcy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Wykonane usługi – 24 miesiące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10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423C50" w:rsidRPr="00A83D35" w:rsidRDefault="00423C50" w:rsidP="00423C50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A83D35">
        <w:rPr>
          <w:rFonts w:ascii="Tahoma" w:hAnsi="Tahoma" w:cs="Tahoma"/>
          <w:b/>
          <w:sz w:val="20"/>
          <w:szCs w:val="20"/>
        </w:rPr>
        <w:t>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23C50" w:rsidRPr="00A83D35" w:rsidRDefault="00423C50" w:rsidP="00423C50">
      <w:pPr>
        <w:jc w:val="both"/>
        <w:rPr>
          <w:rFonts w:ascii="Tahoma" w:hAnsi="Tahoma" w:cs="Tahoma"/>
          <w:b/>
          <w:sz w:val="20"/>
          <w:szCs w:val="20"/>
        </w:rPr>
      </w:pPr>
    </w:p>
    <w:p w:rsidR="00423C50" w:rsidRPr="00A83D35" w:rsidRDefault="00423C50" w:rsidP="00423C50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423C50" w:rsidRPr="00A83D35" w:rsidRDefault="00423C50" w:rsidP="00423C50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12</w:t>
      </w: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13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423C50" w:rsidRDefault="00423C50" w:rsidP="00423C50"/>
    <w:p w:rsidR="00423C50" w:rsidRDefault="00423C50" w:rsidP="00423C50"/>
    <w:p w:rsidR="005D700D" w:rsidRDefault="005D700D"/>
    <w:sectPr w:rsidR="005D700D" w:rsidSect="00C76B1D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28" w:rsidRDefault="00C40C28" w:rsidP="00423C50">
      <w:r>
        <w:separator/>
      </w:r>
    </w:p>
  </w:endnote>
  <w:endnote w:type="continuationSeparator" w:id="0">
    <w:p w:rsidR="00C40C28" w:rsidRDefault="00C40C28" w:rsidP="0042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D8" w:rsidRDefault="004938D8" w:rsidP="00C76B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38D8" w:rsidRDefault="004938D8" w:rsidP="00C76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D8" w:rsidRDefault="004938D8" w:rsidP="00C76B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48D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4938D8" w:rsidRDefault="004938D8" w:rsidP="00C76B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28" w:rsidRDefault="00C40C28" w:rsidP="00423C50">
      <w:r>
        <w:separator/>
      </w:r>
    </w:p>
  </w:footnote>
  <w:footnote w:type="continuationSeparator" w:id="0">
    <w:p w:rsidR="00C40C28" w:rsidRDefault="00C40C28" w:rsidP="00423C50">
      <w:r>
        <w:continuationSeparator/>
      </w:r>
    </w:p>
  </w:footnote>
  <w:footnote w:id="1">
    <w:p w:rsidR="004938D8" w:rsidRDefault="004938D8" w:rsidP="00423C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4938D8" w:rsidRPr="001431F4" w:rsidRDefault="004938D8" w:rsidP="00423C50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4938D8" w:rsidRPr="008E14A5" w:rsidRDefault="004938D8" w:rsidP="00423C50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15E52"/>
    <w:multiLevelType w:val="multilevel"/>
    <w:tmpl w:val="96CE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E7D"/>
    <w:multiLevelType w:val="multilevel"/>
    <w:tmpl w:val="A22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56D94"/>
    <w:multiLevelType w:val="multilevel"/>
    <w:tmpl w:val="32F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52683"/>
    <w:multiLevelType w:val="hybridMultilevel"/>
    <w:tmpl w:val="42D4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3FD9"/>
    <w:multiLevelType w:val="multilevel"/>
    <w:tmpl w:val="3D5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0"/>
    <w:rsid w:val="00423C50"/>
    <w:rsid w:val="004938D8"/>
    <w:rsid w:val="005D700D"/>
    <w:rsid w:val="0069248D"/>
    <w:rsid w:val="00737B90"/>
    <w:rsid w:val="00761525"/>
    <w:rsid w:val="00882C70"/>
    <w:rsid w:val="008F2FEF"/>
    <w:rsid w:val="00A2786D"/>
    <w:rsid w:val="00AC75FF"/>
    <w:rsid w:val="00C40C28"/>
    <w:rsid w:val="00C76B1D"/>
    <w:rsid w:val="00D61777"/>
    <w:rsid w:val="00E4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50DF-7D35-44FB-BF30-095B2DC7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C5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2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C5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423C50"/>
  </w:style>
  <w:style w:type="paragraph" w:styleId="Tekstprzypisudolnego">
    <w:name w:val="footnote text"/>
    <w:basedOn w:val="Normalny"/>
    <w:link w:val="TekstprzypisudolnegoZnak"/>
    <w:uiPriority w:val="99"/>
    <w:unhideWhenUsed/>
    <w:rsid w:val="00423C5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3C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C5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2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23C50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4274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6</cp:revision>
  <dcterms:created xsi:type="dcterms:W3CDTF">2024-05-10T10:26:00Z</dcterms:created>
  <dcterms:modified xsi:type="dcterms:W3CDTF">2024-06-04T09:39:00Z</dcterms:modified>
</cp:coreProperties>
</file>