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5FA84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348809B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F7A8E4D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BB21191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958A93C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9616088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7C0ECF0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F4EA17B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695D3E9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CEF5E84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609FC19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818EE39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F77E1D0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51ED1FD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A6AA043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9323DF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2D413D5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D09827B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0DF9A0D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D25B7D2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B09B79F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ED641C6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CA6423D" w14:textId="77777777" w:rsidR="00282A86" w:rsidRPr="005C726F" w:rsidRDefault="00282A86" w:rsidP="00282A86">
      <w:pPr>
        <w:jc w:val="center"/>
        <w:rPr>
          <w:rFonts w:cstheme="minorHAnsi"/>
          <w:b/>
          <w:sz w:val="40"/>
        </w:rPr>
      </w:pPr>
    </w:p>
    <w:p w14:paraId="0147FB00" w14:textId="77777777" w:rsidR="00282A86" w:rsidRPr="005C726F" w:rsidRDefault="00282A86" w:rsidP="00282A86">
      <w:pPr>
        <w:jc w:val="center"/>
        <w:rPr>
          <w:rFonts w:cstheme="minorHAnsi"/>
          <w:b/>
          <w:sz w:val="32"/>
        </w:rPr>
      </w:pPr>
      <w:r w:rsidRPr="005C726F">
        <w:rPr>
          <w:rFonts w:cstheme="minorHAnsi"/>
          <w:b/>
        </w:rPr>
        <w:t>OPIS PRZEDMIOTU ZAMÓWIENIA</w:t>
      </w:r>
    </w:p>
    <w:p w14:paraId="4174E480" w14:textId="4EC3D74C" w:rsidR="00282A86" w:rsidRPr="008871EE" w:rsidRDefault="00DC265B" w:rsidP="00282A86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</w:rPr>
      </w:pPr>
      <w:r>
        <w:rPr>
          <w:rFonts w:eastAsia="ArialNarrow" w:cstheme="minorHAnsi"/>
          <w:sz w:val="20"/>
          <w:szCs w:val="20"/>
        </w:rPr>
        <w:t xml:space="preserve">Zakup </w:t>
      </w:r>
      <w:r w:rsidR="00854B8B">
        <w:rPr>
          <w:rFonts w:eastAsia="ArialNarrow" w:cstheme="minorHAnsi"/>
          <w:sz w:val="20"/>
          <w:szCs w:val="20"/>
        </w:rPr>
        <w:t>wózka widłowego do naczepy wraz z montażem</w:t>
      </w:r>
    </w:p>
    <w:p w14:paraId="3C6ED081" w14:textId="22F74671" w:rsidR="00282A86" w:rsidRPr="008871EE" w:rsidRDefault="00282A86" w:rsidP="00282A86">
      <w:pPr>
        <w:spacing w:before="120" w:after="0" w:line="276" w:lineRule="auto"/>
        <w:ind w:left="284" w:hanging="284"/>
        <w:jc w:val="center"/>
        <w:rPr>
          <w:rFonts w:cstheme="minorHAnsi"/>
          <w:sz w:val="20"/>
          <w:szCs w:val="20"/>
        </w:rPr>
      </w:pPr>
      <w:r w:rsidRPr="008871EE">
        <w:rPr>
          <w:rFonts w:cstheme="minorHAnsi"/>
          <w:sz w:val="20"/>
          <w:szCs w:val="20"/>
        </w:rPr>
        <w:t xml:space="preserve">Wspólny Słownik Zamówień CPV: </w:t>
      </w:r>
      <w:r w:rsidR="00854B8B">
        <w:rPr>
          <w:rFonts w:cstheme="minorHAnsi"/>
          <w:sz w:val="20"/>
          <w:szCs w:val="20"/>
        </w:rPr>
        <w:t>42415110-2</w:t>
      </w:r>
    </w:p>
    <w:p w14:paraId="0241A72E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BB739AC" w14:textId="77777777" w:rsidR="00282A86" w:rsidRDefault="00282A8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2F2C4A8A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1344C73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E65BA15" w14:textId="77777777" w:rsidR="00282A86" w:rsidRDefault="00282A86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CA671D4" w14:textId="2567DAF0" w:rsidR="007361DE" w:rsidRDefault="007361DE" w:rsidP="007361DE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SZCZEGÓŁOWY OPIS PRZEDMIOTU ZAMÓWIENIA</w:t>
      </w:r>
    </w:p>
    <w:p w14:paraId="1C46E07D" w14:textId="661ED0D5" w:rsidR="007361DE" w:rsidRDefault="007361DE" w:rsidP="007361DE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73E68C6" w14:textId="40465543" w:rsidR="007361DE" w:rsidRDefault="007361DE" w:rsidP="007361DE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541C34E" w14:textId="5BC9996A" w:rsidR="007361DE" w:rsidRDefault="007361DE" w:rsidP="007361DE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Przedmiotem zamówienia jest </w:t>
      </w:r>
      <w:r w:rsidR="00DC265B">
        <w:rPr>
          <w:rFonts w:cstheme="minorHAnsi"/>
          <w:bCs/>
          <w:sz w:val="24"/>
          <w:szCs w:val="24"/>
        </w:rPr>
        <w:t>zakup</w:t>
      </w:r>
      <w:r>
        <w:rPr>
          <w:rFonts w:cstheme="minorHAnsi"/>
          <w:bCs/>
          <w:sz w:val="24"/>
          <w:szCs w:val="24"/>
        </w:rPr>
        <w:t xml:space="preserve"> wózka widłowego do naczepy wraz z montażem.</w:t>
      </w:r>
    </w:p>
    <w:p w14:paraId="5266A224" w14:textId="77777777" w:rsidR="00734112" w:rsidRDefault="00734112" w:rsidP="007361DE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96A3213" w14:textId="6F722D4B" w:rsidR="007361DE" w:rsidRDefault="006A1856" w:rsidP="007361DE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Zakres zamówienia: n</w:t>
      </w:r>
      <w:r w:rsidR="00734112">
        <w:rPr>
          <w:rFonts w:cstheme="minorHAnsi"/>
          <w:bCs/>
          <w:sz w:val="24"/>
          <w:szCs w:val="24"/>
        </w:rPr>
        <w:t xml:space="preserve">a wyposażeniu komendy znajduje się naczepa transportowa firmy WIELTON, model – NS34, rok produkcji 2015, którą należy przystosować do przewozu </w:t>
      </w:r>
      <w:r>
        <w:rPr>
          <w:rFonts w:cstheme="minorHAnsi"/>
          <w:bCs/>
          <w:sz w:val="24"/>
          <w:szCs w:val="24"/>
        </w:rPr>
        <w:t xml:space="preserve">zakupionego </w:t>
      </w:r>
      <w:r w:rsidR="00734112">
        <w:rPr>
          <w:rFonts w:cstheme="minorHAnsi"/>
          <w:bCs/>
          <w:sz w:val="24"/>
          <w:szCs w:val="24"/>
        </w:rPr>
        <w:t>wózka widłowego poprzez wykonanie systemu zewnętrznego i wewnętrznego dokowania wózka widłowego</w:t>
      </w:r>
      <w:r>
        <w:rPr>
          <w:rFonts w:cstheme="minorHAnsi"/>
          <w:bCs/>
          <w:sz w:val="24"/>
          <w:szCs w:val="24"/>
        </w:rPr>
        <w:t xml:space="preserve"> oraz przeszkolenie osób w zakresie niezbędnym do jego obsługi. </w:t>
      </w:r>
    </w:p>
    <w:p w14:paraId="6C0D4848" w14:textId="549AE2EC" w:rsidR="007361DE" w:rsidRDefault="007361DE" w:rsidP="007361DE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5005FCF" w14:textId="661E620B" w:rsidR="007361DE" w:rsidRPr="006A1856" w:rsidRDefault="007361DE" w:rsidP="006A1856">
      <w:pPr>
        <w:pStyle w:val="Akapitzlist"/>
        <w:numPr>
          <w:ilvl w:val="0"/>
          <w:numId w:val="19"/>
        </w:num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ind w:hanging="720"/>
        <w:rPr>
          <w:rFonts w:cstheme="minorHAnsi"/>
          <w:b/>
          <w:sz w:val="24"/>
          <w:szCs w:val="24"/>
        </w:rPr>
      </w:pPr>
      <w:r w:rsidRPr="006A1856">
        <w:rPr>
          <w:rFonts w:cstheme="minorHAnsi"/>
          <w:b/>
          <w:sz w:val="24"/>
          <w:szCs w:val="24"/>
        </w:rPr>
        <w:t>Wymagane parametry techniczne</w:t>
      </w:r>
      <w:r w:rsidR="00116247" w:rsidRPr="006A1856">
        <w:rPr>
          <w:rFonts w:cstheme="minorHAnsi"/>
          <w:b/>
          <w:sz w:val="24"/>
          <w:szCs w:val="24"/>
        </w:rPr>
        <w:t xml:space="preserve"> wózka widłowego</w:t>
      </w:r>
    </w:p>
    <w:p w14:paraId="3712214D" w14:textId="4D944A42" w:rsidR="007361DE" w:rsidRDefault="007361DE" w:rsidP="007361DE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CF1A429" w14:textId="0513B434" w:rsidR="007361DE" w:rsidRDefault="007361DE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wózek fabrycznie nowy, rok produkcji 2021</w:t>
      </w:r>
      <w:r w:rsidR="00892488">
        <w:rPr>
          <w:rFonts w:cstheme="minorHAnsi"/>
          <w:bCs/>
          <w:sz w:val="24"/>
          <w:szCs w:val="24"/>
        </w:rPr>
        <w:t>,</w:t>
      </w:r>
    </w:p>
    <w:p w14:paraId="7AF44031" w14:textId="5FF4E6B6" w:rsidR="007361DE" w:rsidRDefault="007361DE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rodzaj silnika </w:t>
      </w:r>
      <w:r w:rsidR="00116631">
        <w:rPr>
          <w:rFonts w:cstheme="minorHAnsi"/>
          <w:bCs/>
          <w:sz w:val="24"/>
          <w:szCs w:val="24"/>
        </w:rPr>
        <w:t>–</w:t>
      </w:r>
      <w:r w:rsidR="00395171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diesel</w:t>
      </w:r>
      <w:r w:rsidR="00116631">
        <w:rPr>
          <w:rFonts w:cstheme="minorHAnsi"/>
          <w:bCs/>
          <w:sz w:val="24"/>
          <w:szCs w:val="24"/>
        </w:rPr>
        <w:t>, 4 cylindrowy</w:t>
      </w:r>
      <w:r w:rsidR="00892488">
        <w:rPr>
          <w:rFonts w:cstheme="minorHAnsi"/>
          <w:bCs/>
          <w:sz w:val="24"/>
          <w:szCs w:val="24"/>
        </w:rPr>
        <w:t>,</w:t>
      </w:r>
    </w:p>
    <w:p w14:paraId="3D5CB369" w14:textId="4BCA520B" w:rsidR="00116631" w:rsidRDefault="00116631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moc - min. 24 </w:t>
      </w:r>
      <w:r w:rsidR="00585208">
        <w:rPr>
          <w:rFonts w:cstheme="minorHAnsi"/>
          <w:bCs/>
          <w:sz w:val="24"/>
          <w:szCs w:val="24"/>
        </w:rPr>
        <w:t>KM</w:t>
      </w:r>
      <w:r w:rsidR="00892488">
        <w:rPr>
          <w:rFonts w:cstheme="minorHAnsi"/>
          <w:bCs/>
          <w:sz w:val="24"/>
          <w:szCs w:val="24"/>
        </w:rPr>
        <w:t>,</w:t>
      </w:r>
    </w:p>
    <w:p w14:paraId="15AADDF2" w14:textId="2E4FAC57" w:rsidR="007361DE" w:rsidRDefault="007361DE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395171">
        <w:rPr>
          <w:rFonts w:cstheme="minorHAnsi"/>
          <w:bCs/>
          <w:sz w:val="24"/>
          <w:szCs w:val="24"/>
        </w:rPr>
        <w:t>udźwig – min. 2500 kg</w:t>
      </w:r>
      <w:r w:rsidR="00892488">
        <w:rPr>
          <w:rFonts w:cstheme="minorHAnsi"/>
          <w:bCs/>
          <w:sz w:val="24"/>
          <w:szCs w:val="24"/>
        </w:rPr>
        <w:t>,</w:t>
      </w:r>
    </w:p>
    <w:p w14:paraId="570037EE" w14:textId="41934332" w:rsidR="00CB7BDB" w:rsidRDefault="00CB7BDB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napęd hydrauliczny – 3 koła</w:t>
      </w:r>
      <w:r w:rsidR="00892488">
        <w:rPr>
          <w:rFonts w:cstheme="minorHAnsi"/>
          <w:bCs/>
          <w:sz w:val="24"/>
          <w:szCs w:val="24"/>
        </w:rPr>
        <w:t>,</w:t>
      </w:r>
    </w:p>
    <w:p w14:paraId="54182E49" w14:textId="0D87F6FC" w:rsidR="00696A30" w:rsidRDefault="00696A30" w:rsidP="00892488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całkowita długość wózka po złożeniu ramion kół, siedziska </w:t>
      </w:r>
      <w:r w:rsidR="00892488">
        <w:rPr>
          <w:rFonts w:cstheme="minorHAnsi"/>
          <w:bCs/>
          <w:sz w:val="24"/>
          <w:szCs w:val="24"/>
        </w:rPr>
        <w:t>i daszka – nie większa niż 1200 </w:t>
      </w:r>
      <w:r>
        <w:rPr>
          <w:rFonts w:cstheme="minorHAnsi"/>
          <w:bCs/>
          <w:sz w:val="24"/>
          <w:szCs w:val="24"/>
        </w:rPr>
        <w:t>mm</w:t>
      </w:r>
      <w:r w:rsidR="00341BB5">
        <w:rPr>
          <w:rFonts w:cstheme="minorHAnsi"/>
          <w:bCs/>
          <w:sz w:val="24"/>
          <w:szCs w:val="24"/>
        </w:rPr>
        <w:t>,</w:t>
      </w:r>
    </w:p>
    <w:p w14:paraId="1CC3B8B0" w14:textId="085E8B80" w:rsidR="00341BB5" w:rsidRDefault="00341BB5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prześwit</w:t>
      </w:r>
      <w:r w:rsidR="00892488">
        <w:rPr>
          <w:rFonts w:cstheme="minorHAnsi"/>
          <w:bCs/>
          <w:sz w:val="24"/>
          <w:szCs w:val="24"/>
        </w:rPr>
        <w:t xml:space="preserve"> nad ziemią min. 250 mm,</w:t>
      </w:r>
    </w:p>
    <w:p w14:paraId="3F7F0E90" w14:textId="2BBA596C" w:rsidR="00892488" w:rsidRDefault="00892488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przestrzeń między ramionami kół </w:t>
      </w:r>
      <w:r w:rsidR="00585208">
        <w:rPr>
          <w:rFonts w:cstheme="minorHAnsi"/>
          <w:bCs/>
          <w:sz w:val="24"/>
          <w:szCs w:val="24"/>
        </w:rPr>
        <w:t xml:space="preserve">min. </w:t>
      </w:r>
      <w:r>
        <w:rPr>
          <w:rFonts w:cstheme="minorHAnsi"/>
          <w:bCs/>
          <w:sz w:val="24"/>
          <w:szCs w:val="24"/>
        </w:rPr>
        <w:t>1500 mm,</w:t>
      </w:r>
    </w:p>
    <w:p w14:paraId="1B8B8C98" w14:textId="4985BAD7" w:rsidR="001362FA" w:rsidRDefault="001362FA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napęd – hydrostatyczny na każde z kół</w:t>
      </w:r>
      <w:r w:rsidR="00892488">
        <w:rPr>
          <w:rFonts w:cstheme="minorHAnsi"/>
          <w:bCs/>
          <w:sz w:val="24"/>
          <w:szCs w:val="24"/>
        </w:rPr>
        <w:t>,</w:t>
      </w:r>
    </w:p>
    <w:p w14:paraId="4C83DC2C" w14:textId="2A5DB69A" w:rsidR="003644B8" w:rsidRPr="003644B8" w:rsidRDefault="003644B8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zdolność pokonywania wzniesień – </w:t>
      </w:r>
      <w:r w:rsidR="00DC265B">
        <w:rPr>
          <w:rFonts w:cstheme="minorHAnsi"/>
          <w:bCs/>
          <w:sz w:val="24"/>
          <w:szCs w:val="24"/>
        </w:rPr>
        <w:t xml:space="preserve">min. </w:t>
      </w:r>
      <w:r>
        <w:rPr>
          <w:rFonts w:cstheme="minorHAnsi"/>
          <w:bCs/>
          <w:sz w:val="24"/>
          <w:szCs w:val="24"/>
        </w:rPr>
        <w:t>30</w:t>
      </w:r>
      <w:r>
        <w:rPr>
          <w:rFonts w:cstheme="minorHAnsi"/>
          <w:bCs/>
          <w:sz w:val="24"/>
          <w:szCs w:val="24"/>
          <w:vertAlign w:val="superscript"/>
        </w:rPr>
        <w:t>0</w:t>
      </w:r>
      <w:r>
        <w:rPr>
          <w:rFonts w:cstheme="minorHAnsi"/>
          <w:bCs/>
          <w:sz w:val="24"/>
          <w:szCs w:val="24"/>
        </w:rPr>
        <w:t xml:space="preserve"> z ładunkiem/bez ładunku</w:t>
      </w:r>
      <w:r w:rsidR="00892488">
        <w:rPr>
          <w:rFonts w:cstheme="minorHAnsi"/>
          <w:bCs/>
          <w:sz w:val="24"/>
          <w:szCs w:val="24"/>
        </w:rPr>
        <w:t>,</w:t>
      </w:r>
    </w:p>
    <w:p w14:paraId="4FE25B45" w14:textId="68330C62" w:rsidR="00395171" w:rsidRDefault="00395171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wysokość podnoszenia</w:t>
      </w:r>
      <w:r w:rsidR="00CB7BDB">
        <w:rPr>
          <w:rFonts w:cstheme="minorHAnsi"/>
          <w:bCs/>
          <w:sz w:val="24"/>
          <w:szCs w:val="24"/>
        </w:rPr>
        <w:t xml:space="preserve"> masztu</w:t>
      </w:r>
      <w:r>
        <w:rPr>
          <w:rFonts w:cstheme="minorHAnsi"/>
          <w:bCs/>
          <w:sz w:val="24"/>
          <w:szCs w:val="24"/>
        </w:rPr>
        <w:t xml:space="preserve"> minimum 3100 mm</w:t>
      </w:r>
      <w:r w:rsidR="00892488">
        <w:rPr>
          <w:rFonts w:cstheme="minorHAnsi"/>
          <w:bCs/>
          <w:sz w:val="24"/>
          <w:szCs w:val="24"/>
        </w:rPr>
        <w:t>,</w:t>
      </w:r>
    </w:p>
    <w:p w14:paraId="4FD710AA" w14:textId="096EEEA9" w:rsidR="00395171" w:rsidRDefault="00395171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2C36C4">
        <w:rPr>
          <w:rFonts w:cstheme="minorHAnsi"/>
          <w:bCs/>
          <w:sz w:val="24"/>
          <w:szCs w:val="24"/>
        </w:rPr>
        <w:t>maszt Duplex</w:t>
      </w:r>
      <w:r w:rsidR="00892488">
        <w:rPr>
          <w:rFonts w:cstheme="minorHAnsi"/>
          <w:bCs/>
          <w:sz w:val="24"/>
          <w:szCs w:val="24"/>
        </w:rPr>
        <w:t>,</w:t>
      </w:r>
    </w:p>
    <w:p w14:paraId="3C67BB3A" w14:textId="7FC681D0" w:rsidR="002C36C4" w:rsidRDefault="002C36C4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2558C0">
        <w:rPr>
          <w:rFonts w:cstheme="minorHAnsi"/>
          <w:bCs/>
          <w:sz w:val="24"/>
          <w:szCs w:val="24"/>
        </w:rPr>
        <w:t xml:space="preserve">przesuw boczny </w:t>
      </w:r>
      <w:r w:rsidR="00DC265B">
        <w:rPr>
          <w:rFonts w:cstheme="minorHAnsi"/>
          <w:bCs/>
          <w:sz w:val="24"/>
          <w:szCs w:val="24"/>
        </w:rPr>
        <w:t xml:space="preserve">masztu </w:t>
      </w:r>
      <w:r w:rsidR="002558C0">
        <w:rPr>
          <w:rFonts w:cstheme="minorHAnsi"/>
          <w:bCs/>
          <w:sz w:val="24"/>
          <w:szCs w:val="24"/>
        </w:rPr>
        <w:t xml:space="preserve">– </w:t>
      </w:r>
      <w:r w:rsidR="00DC265B">
        <w:rPr>
          <w:rFonts w:cstheme="minorHAnsi"/>
          <w:bCs/>
          <w:sz w:val="24"/>
          <w:szCs w:val="24"/>
        </w:rPr>
        <w:t xml:space="preserve">min. </w:t>
      </w:r>
      <w:r w:rsidR="002558C0">
        <w:rPr>
          <w:rFonts w:cstheme="minorHAnsi"/>
          <w:bCs/>
          <w:sz w:val="24"/>
          <w:szCs w:val="24"/>
        </w:rPr>
        <w:t>125/125 mm w każdą stronę</w:t>
      </w:r>
      <w:r w:rsidR="00892488">
        <w:rPr>
          <w:rFonts w:cstheme="minorHAnsi"/>
          <w:bCs/>
          <w:sz w:val="24"/>
          <w:szCs w:val="24"/>
        </w:rPr>
        <w:t>,</w:t>
      </w:r>
    </w:p>
    <w:p w14:paraId="2BE525E1" w14:textId="7D6F0025" w:rsidR="002558C0" w:rsidRDefault="002558C0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przechył </w:t>
      </w:r>
      <w:r w:rsidR="00DC265B">
        <w:rPr>
          <w:rFonts w:cstheme="minorHAnsi"/>
          <w:bCs/>
          <w:sz w:val="24"/>
          <w:szCs w:val="24"/>
        </w:rPr>
        <w:t xml:space="preserve">masztu min. </w:t>
      </w:r>
      <w:r>
        <w:rPr>
          <w:rFonts w:cstheme="minorHAnsi"/>
          <w:bCs/>
          <w:sz w:val="24"/>
          <w:szCs w:val="24"/>
        </w:rPr>
        <w:t>6</w:t>
      </w:r>
      <w:r>
        <w:rPr>
          <w:rFonts w:cstheme="minorHAnsi"/>
          <w:bCs/>
          <w:sz w:val="24"/>
          <w:szCs w:val="24"/>
          <w:vertAlign w:val="superscript"/>
        </w:rPr>
        <w:t xml:space="preserve">0  </w:t>
      </w:r>
      <w:r>
        <w:rPr>
          <w:rFonts w:cstheme="minorHAnsi"/>
          <w:bCs/>
          <w:sz w:val="24"/>
          <w:szCs w:val="24"/>
        </w:rPr>
        <w:t>przód/tył</w:t>
      </w:r>
      <w:r w:rsidR="00892488">
        <w:rPr>
          <w:rFonts w:cstheme="minorHAnsi"/>
          <w:bCs/>
          <w:sz w:val="24"/>
          <w:szCs w:val="24"/>
        </w:rPr>
        <w:t>,</w:t>
      </w:r>
    </w:p>
    <w:p w14:paraId="1B0ED85F" w14:textId="7D6359D3" w:rsidR="003644B8" w:rsidRDefault="003644B8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promień zawracania – </w:t>
      </w:r>
      <w:r w:rsidR="00585208">
        <w:rPr>
          <w:rFonts w:cstheme="minorHAnsi"/>
          <w:bCs/>
          <w:sz w:val="24"/>
          <w:szCs w:val="24"/>
        </w:rPr>
        <w:t>max</w:t>
      </w:r>
      <w:r>
        <w:rPr>
          <w:rFonts w:cstheme="minorHAnsi"/>
          <w:bCs/>
          <w:sz w:val="24"/>
          <w:szCs w:val="24"/>
        </w:rPr>
        <w:t xml:space="preserve">. </w:t>
      </w:r>
      <w:r w:rsidR="00585208">
        <w:rPr>
          <w:rFonts w:cstheme="minorHAnsi"/>
          <w:bCs/>
          <w:sz w:val="24"/>
          <w:szCs w:val="24"/>
        </w:rPr>
        <w:t>20</w:t>
      </w:r>
      <w:r>
        <w:rPr>
          <w:rFonts w:cstheme="minorHAnsi"/>
          <w:bCs/>
          <w:sz w:val="24"/>
          <w:szCs w:val="24"/>
        </w:rPr>
        <w:t>00 mm</w:t>
      </w:r>
      <w:r w:rsidR="00892488">
        <w:rPr>
          <w:rFonts w:cstheme="minorHAnsi"/>
          <w:bCs/>
          <w:sz w:val="24"/>
          <w:szCs w:val="24"/>
        </w:rPr>
        <w:t>,</w:t>
      </w:r>
    </w:p>
    <w:p w14:paraId="6378EA1C" w14:textId="76785FFA" w:rsidR="007D628E" w:rsidRDefault="007D628E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instalacja robocza wózka – 12 V</w:t>
      </w:r>
      <w:r w:rsidR="00892488">
        <w:rPr>
          <w:rFonts w:cstheme="minorHAnsi"/>
          <w:bCs/>
          <w:sz w:val="24"/>
          <w:szCs w:val="24"/>
        </w:rPr>
        <w:t>,</w:t>
      </w:r>
    </w:p>
    <w:p w14:paraId="39CFB84F" w14:textId="0306FD2C" w:rsidR="007D628E" w:rsidRDefault="007D628E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instalacja transportowa wózka – 24V</w:t>
      </w:r>
      <w:r w:rsidR="00892488">
        <w:rPr>
          <w:rFonts w:cstheme="minorHAnsi"/>
          <w:bCs/>
          <w:sz w:val="24"/>
          <w:szCs w:val="24"/>
        </w:rPr>
        <w:t>,</w:t>
      </w:r>
    </w:p>
    <w:p w14:paraId="4B98538F" w14:textId="3E2B447F" w:rsidR="00CB7BDB" w:rsidRDefault="00CB7BDB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kolor wózka – czerwony RAL 3020</w:t>
      </w:r>
      <w:r w:rsidR="00892488">
        <w:rPr>
          <w:rFonts w:cstheme="minorHAnsi"/>
          <w:bCs/>
          <w:sz w:val="24"/>
          <w:szCs w:val="24"/>
        </w:rPr>
        <w:t>,</w:t>
      </w:r>
    </w:p>
    <w:p w14:paraId="4CDC06C8" w14:textId="1CEF88DE" w:rsidR="00CB7BDB" w:rsidRDefault="00CB7BDB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system wysuwu wideł </w:t>
      </w:r>
      <w:r w:rsidR="00696A30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hydrauliczny</w:t>
      </w:r>
      <w:r w:rsidR="00892488">
        <w:rPr>
          <w:rFonts w:cstheme="minorHAnsi"/>
          <w:bCs/>
          <w:sz w:val="24"/>
          <w:szCs w:val="24"/>
        </w:rPr>
        <w:t>,</w:t>
      </w:r>
    </w:p>
    <w:p w14:paraId="7DF67B1F" w14:textId="2C627721" w:rsidR="00345701" w:rsidRDefault="00345701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długość wideł – 1600 mm + 1200 mm</w:t>
      </w:r>
      <w:r w:rsidR="00892488">
        <w:rPr>
          <w:rFonts w:cstheme="minorHAnsi"/>
          <w:bCs/>
          <w:sz w:val="24"/>
          <w:szCs w:val="24"/>
        </w:rPr>
        <w:t>,</w:t>
      </w:r>
    </w:p>
    <w:p w14:paraId="69C14C5E" w14:textId="5880F598" w:rsidR="00345701" w:rsidRDefault="00345701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- ramiona kół – składane na boki wózka</w:t>
      </w:r>
      <w:r w:rsidR="00892488">
        <w:rPr>
          <w:rFonts w:cstheme="minorHAnsi"/>
          <w:bCs/>
          <w:sz w:val="24"/>
          <w:szCs w:val="24"/>
        </w:rPr>
        <w:t>,</w:t>
      </w:r>
    </w:p>
    <w:p w14:paraId="08B99FA4" w14:textId="665AA26E" w:rsidR="00345701" w:rsidRDefault="00345701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- hydraulicznie wysuwane podpory</w:t>
      </w:r>
      <w:r w:rsidR="00892488">
        <w:rPr>
          <w:rFonts w:cstheme="minorHAnsi"/>
          <w:bCs/>
          <w:sz w:val="24"/>
          <w:szCs w:val="24"/>
        </w:rPr>
        <w:t>,</w:t>
      </w:r>
    </w:p>
    <w:p w14:paraId="6E487CD9" w14:textId="3E164A7A" w:rsidR="00000140" w:rsidRDefault="00000140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układ hamulcowy – automatyczny (statyczne wielotarczowe hamulce)</w:t>
      </w:r>
      <w:r w:rsidR="00892488">
        <w:rPr>
          <w:rFonts w:cstheme="minorHAnsi"/>
          <w:bCs/>
          <w:sz w:val="24"/>
          <w:szCs w:val="24"/>
        </w:rPr>
        <w:t>,</w:t>
      </w:r>
    </w:p>
    <w:p w14:paraId="3D2113DF" w14:textId="7833EF1A" w:rsidR="00345701" w:rsidRDefault="00345701" w:rsidP="00892488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siedzisko operatora – osłonięte i zabezpieczone, z pasem bezpieczeństwa, daszek chroniący przed deszczem</w:t>
      </w:r>
      <w:r w:rsidR="00892488">
        <w:rPr>
          <w:rFonts w:cstheme="minorHAnsi"/>
          <w:bCs/>
          <w:sz w:val="24"/>
          <w:szCs w:val="24"/>
        </w:rPr>
        <w:t>,</w:t>
      </w:r>
    </w:p>
    <w:p w14:paraId="2FA999CD" w14:textId="7B68AEE7" w:rsidR="0009552F" w:rsidRDefault="0009552F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oświetlenie robocze – 2 lampy przednie, 1 tylna</w:t>
      </w:r>
      <w:r w:rsidR="00892488">
        <w:rPr>
          <w:rFonts w:cstheme="minorHAnsi"/>
          <w:bCs/>
          <w:sz w:val="24"/>
          <w:szCs w:val="24"/>
        </w:rPr>
        <w:t>,</w:t>
      </w:r>
    </w:p>
    <w:p w14:paraId="6FC3E189" w14:textId="7A0ADADC" w:rsidR="0009552F" w:rsidRDefault="0009552F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oświetlenie ostrzegawcze – stroboskopowa lampa błyskowa</w:t>
      </w:r>
      <w:r w:rsidR="00892488">
        <w:rPr>
          <w:rFonts w:cstheme="minorHAnsi"/>
          <w:bCs/>
          <w:sz w:val="24"/>
          <w:szCs w:val="24"/>
        </w:rPr>
        <w:t>,</w:t>
      </w:r>
    </w:p>
    <w:p w14:paraId="49F84564" w14:textId="0D7B2F5F" w:rsidR="0009552F" w:rsidRDefault="0009552F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oświetlenie transportowe – tylne lampy przejmujące oświetlenie pojazdu</w:t>
      </w:r>
      <w:r w:rsidR="00892488">
        <w:rPr>
          <w:rFonts w:cstheme="minorHAnsi"/>
          <w:bCs/>
          <w:sz w:val="24"/>
          <w:szCs w:val="24"/>
        </w:rPr>
        <w:t>,</w:t>
      </w:r>
    </w:p>
    <w:p w14:paraId="3837322A" w14:textId="388C3745" w:rsidR="00C25C24" w:rsidRDefault="00C25C24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</w:p>
    <w:p w14:paraId="76312CE0" w14:textId="5AAE32CC" w:rsidR="00C25C24" w:rsidRDefault="006A1856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C25C24" w:rsidRPr="00C25C24">
        <w:rPr>
          <w:rFonts w:cstheme="minorHAnsi"/>
          <w:b/>
          <w:sz w:val="24"/>
          <w:szCs w:val="24"/>
        </w:rPr>
        <w:t>W</w:t>
      </w:r>
      <w:r w:rsidR="00C25C24">
        <w:rPr>
          <w:rFonts w:cstheme="minorHAnsi"/>
          <w:b/>
          <w:sz w:val="24"/>
          <w:szCs w:val="24"/>
        </w:rPr>
        <w:t xml:space="preserve">yposażenie dodatkowe </w:t>
      </w:r>
      <w:r w:rsidR="00116247">
        <w:rPr>
          <w:rFonts w:cstheme="minorHAnsi"/>
          <w:b/>
          <w:sz w:val="24"/>
          <w:szCs w:val="24"/>
        </w:rPr>
        <w:t>wózka widłowego</w:t>
      </w:r>
      <w:r w:rsidR="00C25C24">
        <w:rPr>
          <w:rFonts w:cstheme="minorHAnsi"/>
          <w:b/>
          <w:sz w:val="24"/>
          <w:szCs w:val="24"/>
        </w:rPr>
        <w:t>:</w:t>
      </w:r>
    </w:p>
    <w:p w14:paraId="761B3C18" w14:textId="473B4697" w:rsidR="00C25C24" w:rsidRDefault="00C25C24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 w:rsidRPr="0096775C">
        <w:rPr>
          <w:rFonts w:cstheme="minorHAnsi"/>
          <w:bCs/>
          <w:sz w:val="24"/>
          <w:szCs w:val="24"/>
        </w:rPr>
        <w:t xml:space="preserve">- </w:t>
      </w:r>
      <w:r w:rsidR="0096775C" w:rsidRPr="0096775C">
        <w:rPr>
          <w:rFonts w:cstheme="minorHAnsi"/>
          <w:bCs/>
          <w:sz w:val="24"/>
          <w:szCs w:val="24"/>
        </w:rPr>
        <w:t>sygnał dźwiękowy</w:t>
      </w:r>
      <w:r w:rsidR="006A1856">
        <w:rPr>
          <w:rFonts w:cstheme="minorHAnsi"/>
          <w:bCs/>
          <w:sz w:val="24"/>
          <w:szCs w:val="24"/>
        </w:rPr>
        <w:t>,</w:t>
      </w:r>
    </w:p>
    <w:p w14:paraId="0DD5965C" w14:textId="480FDBBB" w:rsidR="0096775C" w:rsidRDefault="0096775C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pokrowiec siedziska operatora</w:t>
      </w:r>
      <w:r w:rsidR="006A1856">
        <w:rPr>
          <w:rFonts w:cstheme="minorHAnsi"/>
          <w:bCs/>
          <w:sz w:val="24"/>
          <w:szCs w:val="24"/>
        </w:rPr>
        <w:t>,</w:t>
      </w:r>
    </w:p>
    <w:p w14:paraId="2E77B813" w14:textId="236D7CB6" w:rsidR="0096775C" w:rsidRDefault="0096775C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lusterko wsteczne</w:t>
      </w:r>
      <w:r w:rsidR="006A1856">
        <w:rPr>
          <w:rFonts w:cstheme="minorHAnsi"/>
          <w:bCs/>
          <w:sz w:val="24"/>
          <w:szCs w:val="24"/>
        </w:rPr>
        <w:t>,</w:t>
      </w:r>
    </w:p>
    <w:p w14:paraId="6C517A04" w14:textId="3A561B8C" w:rsidR="0096775C" w:rsidRDefault="0096775C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licznik roboczogodzin</w:t>
      </w:r>
      <w:r w:rsidR="006A1856">
        <w:rPr>
          <w:rFonts w:cstheme="minorHAnsi"/>
          <w:bCs/>
          <w:sz w:val="24"/>
          <w:szCs w:val="24"/>
        </w:rPr>
        <w:t>,</w:t>
      </w:r>
    </w:p>
    <w:p w14:paraId="2934BCB9" w14:textId="146BA400" w:rsidR="007914AA" w:rsidRDefault="007914AA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sygnalizacja niskiego poziomu paliwa</w:t>
      </w:r>
      <w:r w:rsidR="006A1856">
        <w:rPr>
          <w:rFonts w:cstheme="minorHAnsi"/>
          <w:bCs/>
          <w:sz w:val="24"/>
          <w:szCs w:val="24"/>
        </w:rPr>
        <w:t>,</w:t>
      </w:r>
    </w:p>
    <w:p w14:paraId="6235BBAB" w14:textId="007F5B30" w:rsidR="007914AA" w:rsidRDefault="007914AA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zamykana pokrywa silnika</w:t>
      </w:r>
      <w:r w:rsidR="006A1856">
        <w:rPr>
          <w:rFonts w:cstheme="minorHAnsi"/>
          <w:bCs/>
          <w:sz w:val="24"/>
          <w:szCs w:val="24"/>
        </w:rPr>
        <w:t>,</w:t>
      </w:r>
    </w:p>
    <w:p w14:paraId="070551DE" w14:textId="30D9E2FB" w:rsidR="007914AA" w:rsidRDefault="007914AA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- 15 polowa wtyczka + przewód spiralny</w:t>
      </w:r>
      <w:r w:rsidR="006A1856">
        <w:rPr>
          <w:rFonts w:cstheme="minorHAnsi"/>
          <w:bCs/>
          <w:sz w:val="24"/>
          <w:szCs w:val="24"/>
        </w:rPr>
        <w:t>,</w:t>
      </w:r>
    </w:p>
    <w:p w14:paraId="6DC26103" w14:textId="31E586E9" w:rsidR="007914AA" w:rsidRPr="0096775C" w:rsidRDefault="007914AA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przygotowanie wózka widłowego do montażu na naczepie</w:t>
      </w:r>
      <w:r w:rsidR="006A1856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</w:t>
      </w:r>
    </w:p>
    <w:p w14:paraId="00009910" w14:textId="31FCA35A" w:rsidR="00952B52" w:rsidRDefault="00952B52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</w:p>
    <w:p w14:paraId="2D4380B6" w14:textId="0C2F51E8" w:rsidR="006A1856" w:rsidRPr="006A1856" w:rsidRDefault="006A1856" w:rsidP="006A1856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A1856">
        <w:rPr>
          <w:rFonts w:cstheme="minorHAnsi"/>
          <w:b/>
          <w:bCs/>
          <w:sz w:val="24"/>
          <w:szCs w:val="24"/>
        </w:rPr>
        <w:t xml:space="preserve">3. </w:t>
      </w:r>
      <w:r>
        <w:rPr>
          <w:rFonts w:cstheme="minorHAnsi"/>
          <w:b/>
          <w:bCs/>
          <w:sz w:val="24"/>
          <w:szCs w:val="24"/>
        </w:rPr>
        <w:t>Przystosowanie naczepy do przewozu wózka:</w:t>
      </w:r>
    </w:p>
    <w:p w14:paraId="762E6056" w14:textId="77777777" w:rsidR="001B54AF" w:rsidRDefault="001B54AF" w:rsidP="001B54AF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wózek montowany na ramie naczepy, </w:t>
      </w:r>
    </w:p>
    <w:p w14:paraId="6C32B74E" w14:textId="41FA99CC" w:rsidR="001B54AF" w:rsidRDefault="001B54AF" w:rsidP="001B54AF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zakres prac przystosowania naczepy do przewozu wózka widłowego obejmuje montaż, systemu wewnętrznego i zewnętrznego systemu dokowania na naczepie poprzez wykonanie wszelkich niezbędnych prac spawalniczych, elektrycznych i montażowych,</w:t>
      </w:r>
    </w:p>
    <w:p w14:paraId="3509547A" w14:textId="1FFDBAF9" w:rsidR="001B54AF" w:rsidRDefault="001B54AF" w:rsidP="001B54AF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koszty transportu naczepy związane z jej przystosowaniem do wykonania systemu dokowania jest po stronie wykonawcy,</w:t>
      </w:r>
    </w:p>
    <w:p w14:paraId="245A0A22" w14:textId="77777777" w:rsidR="006A1856" w:rsidRDefault="006A1856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</w:p>
    <w:p w14:paraId="44137170" w14:textId="66939801" w:rsidR="00952B52" w:rsidRDefault="006A1856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952B52">
        <w:rPr>
          <w:rFonts w:cstheme="minorHAnsi"/>
          <w:b/>
          <w:sz w:val="24"/>
          <w:szCs w:val="24"/>
        </w:rPr>
        <w:t>Wymagane dokumenty wraz z dostawą wózka</w:t>
      </w:r>
      <w:r w:rsidR="00F65F0B">
        <w:rPr>
          <w:rFonts w:cstheme="minorHAnsi"/>
          <w:b/>
          <w:sz w:val="24"/>
          <w:szCs w:val="24"/>
        </w:rPr>
        <w:t xml:space="preserve"> widłowego</w:t>
      </w:r>
      <w:r w:rsidR="00952B52">
        <w:rPr>
          <w:rFonts w:cstheme="minorHAnsi"/>
          <w:b/>
          <w:sz w:val="24"/>
          <w:szCs w:val="24"/>
        </w:rPr>
        <w:t xml:space="preserve"> :</w:t>
      </w:r>
    </w:p>
    <w:p w14:paraId="2D569734" w14:textId="04A87F8B" w:rsidR="00952B52" w:rsidRDefault="00952B52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 w:rsidRPr="00952B52">
        <w:rPr>
          <w:rFonts w:cstheme="minorHAnsi"/>
          <w:bCs/>
          <w:sz w:val="24"/>
          <w:szCs w:val="24"/>
        </w:rPr>
        <w:t xml:space="preserve">- </w:t>
      </w:r>
      <w:r>
        <w:rPr>
          <w:rFonts w:cstheme="minorHAnsi"/>
          <w:bCs/>
          <w:sz w:val="24"/>
          <w:szCs w:val="24"/>
        </w:rPr>
        <w:t>świadectwo zgodności CE,</w:t>
      </w:r>
    </w:p>
    <w:p w14:paraId="4F31A61A" w14:textId="4D7561D0" w:rsidR="00952B52" w:rsidRDefault="00952B52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książka gwarancyjna</w:t>
      </w:r>
      <w:r w:rsidR="006A1856">
        <w:rPr>
          <w:rFonts w:cstheme="minorHAnsi"/>
          <w:bCs/>
          <w:sz w:val="24"/>
          <w:szCs w:val="24"/>
        </w:rPr>
        <w:t>,</w:t>
      </w:r>
    </w:p>
    <w:p w14:paraId="6FEABA15" w14:textId="2B363D7F" w:rsidR="00952B52" w:rsidRDefault="00952B52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instrukcja obsługi</w:t>
      </w:r>
      <w:r w:rsidR="006A1856">
        <w:rPr>
          <w:rFonts w:cstheme="minorHAnsi"/>
          <w:bCs/>
          <w:sz w:val="24"/>
          <w:szCs w:val="24"/>
        </w:rPr>
        <w:t>,</w:t>
      </w:r>
    </w:p>
    <w:p w14:paraId="5B134F54" w14:textId="5AE1F386" w:rsidR="00952B52" w:rsidRDefault="00952B52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karta gwarancyjna</w:t>
      </w:r>
      <w:r w:rsidR="006A1856">
        <w:rPr>
          <w:rFonts w:cstheme="minorHAnsi"/>
          <w:bCs/>
          <w:sz w:val="24"/>
          <w:szCs w:val="24"/>
        </w:rPr>
        <w:t>,</w:t>
      </w:r>
    </w:p>
    <w:p w14:paraId="3A8AEF20" w14:textId="294832F9" w:rsidR="00952B52" w:rsidRDefault="00952B52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książka serwisowa</w:t>
      </w:r>
      <w:r w:rsidR="006A1856">
        <w:rPr>
          <w:rFonts w:cstheme="minorHAnsi"/>
          <w:bCs/>
          <w:sz w:val="24"/>
          <w:szCs w:val="24"/>
        </w:rPr>
        <w:t>,</w:t>
      </w:r>
    </w:p>
    <w:p w14:paraId="7D7CCC8F" w14:textId="51D84562" w:rsidR="00952B52" w:rsidRDefault="00952B52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- dokumentacja techniczno-rozruchowa</w:t>
      </w:r>
      <w:r w:rsidR="006A1856">
        <w:rPr>
          <w:rFonts w:cstheme="minorHAnsi"/>
          <w:bCs/>
          <w:sz w:val="24"/>
          <w:szCs w:val="24"/>
        </w:rPr>
        <w:t>,</w:t>
      </w:r>
    </w:p>
    <w:p w14:paraId="549F57E8" w14:textId="22ED5F7F" w:rsidR="00952B52" w:rsidRDefault="00952B52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pełną dokumentację potwierdzającą</w:t>
      </w:r>
      <w:r w:rsidR="00140C78">
        <w:rPr>
          <w:rFonts w:cstheme="minorHAnsi"/>
          <w:bCs/>
          <w:sz w:val="24"/>
          <w:szCs w:val="24"/>
        </w:rPr>
        <w:t xml:space="preserve"> rejestrację wózka widłowego w UDT</w:t>
      </w:r>
      <w:r w:rsidR="00F65F0B">
        <w:rPr>
          <w:rFonts w:cstheme="minorHAnsi"/>
          <w:bCs/>
          <w:sz w:val="24"/>
          <w:szCs w:val="24"/>
        </w:rPr>
        <w:t>,</w:t>
      </w:r>
    </w:p>
    <w:p w14:paraId="7B392333" w14:textId="77777777" w:rsidR="00F65F0B" w:rsidRDefault="00F65F0B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/>
          <w:sz w:val="24"/>
          <w:szCs w:val="24"/>
        </w:rPr>
      </w:pPr>
    </w:p>
    <w:p w14:paraId="001A44FF" w14:textId="76E2884D" w:rsidR="003445D2" w:rsidRDefault="006A1856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3445D2">
        <w:rPr>
          <w:rFonts w:cstheme="minorHAnsi"/>
          <w:b/>
          <w:sz w:val="24"/>
          <w:szCs w:val="24"/>
        </w:rPr>
        <w:t>Gwarancja</w:t>
      </w:r>
      <w:r w:rsidR="00F65F0B">
        <w:rPr>
          <w:rFonts w:cstheme="minorHAnsi"/>
          <w:b/>
          <w:sz w:val="24"/>
          <w:szCs w:val="24"/>
        </w:rPr>
        <w:t xml:space="preserve"> i serwis</w:t>
      </w:r>
    </w:p>
    <w:p w14:paraId="1ACD0A3F" w14:textId="470EC2EA" w:rsidR="003445D2" w:rsidRDefault="003445D2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/>
          <w:sz w:val="24"/>
          <w:szCs w:val="24"/>
        </w:rPr>
      </w:pPr>
    </w:p>
    <w:p w14:paraId="3C72CC9E" w14:textId="77777777" w:rsidR="002E216E" w:rsidRDefault="003445D2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ascii="Calibri" w:hAnsi="Calibri" w:cs="Arial"/>
          <w:bCs/>
          <w:sz w:val="20"/>
          <w:u w:val="single"/>
        </w:rPr>
      </w:pPr>
      <w:r>
        <w:rPr>
          <w:rFonts w:cstheme="minorHAnsi"/>
          <w:bCs/>
          <w:sz w:val="24"/>
          <w:szCs w:val="24"/>
        </w:rPr>
        <w:t>Gwarancja na wózek widłowy – 24 miesiące.</w:t>
      </w:r>
      <w:r w:rsidR="002E216E" w:rsidRPr="002E216E">
        <w:rPr>
          <w:rFonts w:ascii="Calibri" w:hAnsi="Calibri" w:cs="Arial"/>
          <w:bCs/>
          <w:sz w:val="20"/>
          <w:u w:val="single"/>
        </w:rPr>
        <w:t xml:space="preserve"> </w:t>
      </w:r>
    </w:p>
    <w:p w14:paraId="0C4DDD23" w14:textId="4A8CEC1B" w:rsidR="003445D2" w:rsidRDefault="002E216E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 w:rsidRPr="002E216E">
        <w:rPr>
          <w:rFonts w:cstheme="minorHAnsi"/>
          <w:bCs/>
          <w:sz w:val="24"/>
          <w:szCs w:val="24"/>
          <w:u w:val="single"/>
        </w:rPr>
        <w:t xml:space="preserve">Zaoferowanie </w:t>
      </w:r>
      <w:r>
        <w:rPr>
          <w:rFonts w:cstheme="minorHAnsi"/>
          <w:bCs/>
          <w:sz w:val="24"/>
          <w:szCs w:val="24"/>
          <w:u w:val="single"/>
        </w:rPr>
        <w:t xml:space="preserve">okresu gwarancji </w:t>
      </w:r>
      <w:r w:rsidRPr="002E216E">
        <w:rPr>
          <w:rFonts w:cstheme="minorHAnsi"/>
          <w:bCs/>
          <w:sz w:val="24"/>
          <w:szCs w:val="24"/>
          <w:u w:val="single"/>
        </w:rPr>
        <w:t>po</w:t>
      </w:r>
      <w:r>
        <w:rPr>
          <w:rFonts w:cstheme="minorHAnsi"/>
          <w:bCs/>
          <w:sz w:val="24"/>
          <w:szCs w:val="24"/>
          <w:u w:val="single"/>
        </w:rPr>
        <w:t>niżej</w:t>
      </w:r>
      <w:r w:rsidRPr="002E216E">
        <w:rPr>
          <w:rFonts w:cstheme="minorHAnsi"/>
          <w:bCs/>
          <w:sz w:val="24"/>
          <w:szCs w:val="24"/>
          <w:u w:val="single"/>
        </w:rPr>
        <w:t xml:space="preserve"> </w:t>
      </w:r>
      <w:r>
        <w:rPr>
          <w:rFonts w:cstheme="minorHAnsi"/>
          <w:bCs/>
          <w:sz w:val="24"/>
          <w:szCs w:val="24"/>
          <w:u w:val="single"/>
        </w:rPr>
        <w:t>24 miesięcy</w:t>
      </w:r>
      <w:r w:rsidRPr="002E216E">
        <w:rPr>
          <w:rFonts w:cstheme="minorHAnsi"/>
          <w:bCs/>
          <w:sz w:val="24"/>
          <w:szCs w:val="24"/>
          <w:u w:val="single"/>
        </w:rPr>
        <w:t xml:space="preserve"> spowoduje odrzucenie oferty</w:t>
      </w:r>
    </w:p>
    <w:p w14:paraId="1C587569" w14:textId="24739818" w:rsidR="003445D2" w:rsidRDefault="003445D2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okresie gwarancji Wykonawca zapewni bezpłatny serwis z uwzględnieniem : części, płynów, dojazdu i robocizny.</w:t>
      </w:r>
    </w:p>
    <w:p w14:paraId="6DFACC6F" w14:textId="2F799486" w:rsidR="00F65F0B" w:rsidRPr="00585208" w:rsidRDefault="007B556A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 w:rsidRPr="00585208">
        <w:rPr>
          <w:rFonts w:cstheme="minorHAnsi"/>
          <w:bCs/>
          <w:sz w:val="24"/>
          <w:szCs w:val="24"/>
        </w:rPr>
        <w:t xml:space="preserve">W przypadku wystąpienia wad w wózku widłowym w okresie gwarancji, Wykonawca zobowiązany jest </w:t>
      </w:r>
      <w:r w:rsidR="00E64142" w:rsidRPr="00585208">
        <w:rPr>
          <w:rFonts w:cstheme="minorHAnsi"/>
          <w:bCs/>
          <w:sz w:val="24"/>
          <w:szCs w:val="24"/>
        </w:rPr>
        <w:t xml:space="preserve">do ich bezpłatnego usunięcia w terminie </w:t>
      </w:r>
      <w:r w:rsidR="00C97C45" w:rsidRPr="00585208">
        <w:rPr>
          <w:rFonts w:cstheme="minorHAnsi"/>
          <w:bCs/>
          <w:sz w:val="24"/>
          <w:szCs w:val="24"/>
        </w:rPr>
        <w:t>15</w:t>
      </w:r>
      <w:r w:rsidR="00E64142" w:rsidRPr="00585208">
        <w:rPr>
          <w:rFonts w:cstheme="minorHAnsi"/>
          <w:bCs/>
          <w:sz w:val="24"/>
          <w:szCs w:val="24"/>
        </w:rPr>
        <w:t xml:space="preserve"> dni roboczych od zgłoszenia wady. W przypadku szczególnie skomplikowanych napraw – na wniosek Wykonawcy – możliwe jest wydłużenie terminu usunięcia wad, nie dłużej jednak niż 21 dni roboczych.</w:t>
      </w:r>
    </w:p>
    <w:p w14:paraId="4981B3E3" w14:textId="30CEFAD7" w:rsidR="00F65F0B" w:rsidRDefault="00F65F0B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Wykonawca zapewni minimum przez okres 12 miesięcy bezpłatny serwis pogwarancyjny obejmujący:</w:t>
      </w:r>
      <w:r w:rsidRPr="00F65F0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części, płyny, dojazd i robociznę.</w:t>
      </w:r>
    </w:p>
    <w:p w14:paraId="1BBF1873" w14:textId="17002CAC" w:rsidR="00C97C45" w:rsidRDefault="00C97C45" w:rsidP="00C97C45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 przypadku konieczności dostarczenia sprzętu do </w:t>
      </w:r>
      <w:r w:rsidR="00585208">
        <w:rPr>
          <w:rFonts w:cstheme="minorHAnsi"/>
          <w:bCs/>
          <w:sz w:val="24"/>
          <w:szCs w:val="24"/>
        </w:rPr>
        <w:t>Wykonawcy</w:t>
      </w:r>
      <w:bookmarkStart w:id="0" w:name="_GoBack"/>
      <w:bookmarkEnd w:id="0"/>
      <w:r>
        <w:rPr>
          <w:rFonts w:cstheme="minorHAnsi"/>
          <w:bCs/>
          <w:sz w:val="24"/>
          <w:szCs w:val="24"/>
        </w:rPr>
        <w:t>, koszt dostarczenia sprzętu do warsztatu ponosi Wykonawca.</w:t>
      </w:r>
    </w:p>
    <w:p w14:paraId="3438E178" w14:textId="77777777" w:rsidR="00C97C45" w:rsidRDefault="00C97C45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</w:p>
    <w:p w14:paraId="5A085D60" w14:textId="77777777" w:rsidR="00F65F0B" w:rsidRDefault="00F65F0B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</w:p>
    <w:p w14:paraId="35F76C9B" w14:textId="6B93E8E2" w:rsidR="00F65F0B" w:rsidRPr="00F65F0B" w:rsidRDefault="006A1856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5. </w:t>
      </w:r>
      <w:r w:rsidR="00F65F0B" w:rsidRPr="00F65F0B">
        <w:rPr>
          <w:rFonts w:cstheme="minorHAnsi"/>
          <w:b/>
          <w:bCs/>
          <w:sz w:val="24"/>
          <w:szCs w:val="24"/>
        </w:rPr>
        <w:t>Inne</w:t>
      </w:r>
    </w:p>
    <w:p w14:paraId="3B286529" w14:textId="63C3D512" w:rsidR="00341BB5" w:rsidRPr="00341BB5" w:rsidRDefault="00341BB5" w:rsidP="00341BB5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Wykonawca zapewni uzyskanie uprawnień </w:t>
      </w:r>
      <w:r w:rsidRPr="00341BB5">
        <w:rPr>
          <w:rFonts w:cstheme="minorHAnsi"/>
          <w:bCs/>
          <w:sz w:val="24"/>
          <w:szCs w:val="24"/>
        </w:rPr>
        <w:t xml:space="preserve">na wózki jezdniowe podnośnikowe, w tym specjalizowane, </w:t>
      </w:r>
      <w:proofErr w:type="spellStart"/>
      <w:r w:rsidRPr="00341BB5">
        <w:rPr>
          <w:rFonts w:cstheme="minorHAnsi"/>
          <w:bCs/>
          <w:sz w:val="24"/>
          <w:szCs w:val="24"/>
        </w:rPr>
        <w:t>tj.z</w:t>
      </w:r>
      <w:proofErr w:type="spellEnd"/>
      <w:r w:rsidRPr="00341BB5">
        <w:rPr>
          <w:rFonts w:cstheme="minorHAnsi"/>
          <w:bCs/>
          <w:sz w:val="24"/>
          <w:szCs w:val="24"/>
        </w:rPr>
        <w:t xml:space="preserve"> operatorem podnoszonym wraz z ładunkiem lub ze zmiennym wysięgiem - Szkolenie </w:t>
      </w:r>
      <w:r>
        <w:rPr>
          <w:rFonts w:cstheme="minorHAnsi"/>
          <w:bCs/>
          <w:sz w:val="24"/>
          <w:szCs w:val="24"/>
        </w:rPr>
        <w:t xml:space="preserve">ma uprawniać </w:t>
      </w:r>
      <w:r w:rsidRPr="00341BB5">
        <w:rPr>
          <w:rFonts w:cstheme="minorHAnsi"/>
          <w:bCs/>
          <w:sz w:val="24"/>
          <w:szCs w:val="24"/>
        </w:rPr>
        <w:t>do obsługi wózków j</w:t>
      </w:r>
      <w:r w:rsidR="00892488">
        <w:rPr>
          <w:rFonts w:cstheme="minorHAnsi"/>
          <w:bCs/>
          <w:sz w:val="24"/>
          <w:szCs w:val="24"/>
        </w:rPr>
        <w:t>ezdniowych z dowolnym napędem i </w:t>
      </w:r>
      <w:r w:rsidRPr="00341BB5">
        <w:rPr>
          <w:rFonts w:cstheme="minorHAnsi"/>
          <w:bCs/>
          <w:sz w:val="24"/>
          <w:szCs w:val="24"/>
        </w:rPr>
        <w:t>bez ograniczeń wysokości podnoszenia oraz udźwigu</w:t>
      </w:r>
      <w:r>
        <w:rPr>
          <w:rFonts w:cstheme="minorHAnsi"/>
          <w:bCs/>
          <w:sz w:val="24"/>
          <w:szCs w:val="24"/>
        </w:rPr>
        <w:t>.</w:t>
      </w:r>
    </w:p>
    <w:p w14:paraId="63CAAFFA" w14:textId="17BD9C08" w:rsidR="00CA469B" w:rsidRDefault="00CA469B" w:rsidP="00CB7BDB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Wykonawca </w:t>
      </w:r>
      <w:r w:rsidR="00341BB5">
        <w:rPr>
          <w:rFonts w:cstheme="minorHAnsi"/>
          <w:bCs/>
          <w:sz w:val="24"/>
          <w:szCs w:val="24"/>
        </w:rPr>
        <w:t xml:space="preserve">ponadto </w:t>
      </w:r>
      <w:r>
        <w:rPr>
          <w:rFonts w:cstheme="minorHAnsi"/>
          <w:bCs/>
          <w:sz w:val="24"/>
          <w:szCs w:val="24"/>
        </w:rPr>
        <w:t>zapewni szkolenie pracowników Zamawiającego z zakresu eksploatacji dostarczonego sprzętu.</w:t>
      </w:r>
    </w:p>
    <w:p w14:paraId="068A038B" w14:textId="2060F1B6" w:rsidR="002205D6" w:rsidRPr="000B5B49" w:rsidRDefault="00341BB5" w:rsidP="000B5B4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Wyżej wymienionym przeszkoleniem należy objąć grupę minimum 30 osób wskazanych przez zamawiającego.</w:t>
      </w:r>
    </w:p>
    <w:sectPr w:rsidR="002205D6" w:rsidRPr="000B5B49" w:rsidSect="00CE6AD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1912C" w14:textId="77777777" w:rsidR="003C2F3E" w:rsidRDefault="003C2F3E" w:rsidP="0038231F">
      <w:pPr>
        <w:spacing w:after="0" w:line="240" w:lineRule="auto"/>
      </w:pPr>
      <w:r>
        <w:separator/>
      </w:r>
    </w:p>
  </w:endnote>
  <w:endnote w:type="continuationSeparator" w:id="0">
    <w:p w14:paraId="5CFB0EC4" w14:textId="77777777" w:rsidR="003C2F3E" w:rsidRDefault="003C2F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880029"/>
      <w:docPartObj>
        <w:docPartGallery w:val="Page Numbers (Bottom of Page)"/>
        <w:docPartUnique/>
      </w:docPartObj>
    </w:sdtPr>
    <w:sdtEndPr/>
    <w:sdtContent>
      <w:p w14:paraId="7A74141B" w14:textId="2F7B2C69" w:rsidR="00D30876" w:rsidRDefault="0027094D" w:rsidP="00D30876">
        <w:pPr>
          <w:pStyle w:val="Stopka"/>
          <w:jc w:val="center"/>
        </w:pPr>
        <w:r>
          <w:t>P</w:t>
        </w:r>
        <w:r w:rsidR="00D30876" w:rsidRPr="002F37EA">
          <w:rPr>
            <w:sz w:val="16"/>
            <w:szCs w:val="16"/>
          </w:rPr>
          <w:t>T.2370.</w:t>
        </w:r>
        <w:r>
          <w:rPr>
            <w:sz w:val="16"/>
            <w:szCs w:val="16"/>
          </w:rPr>
          <w:t>7</w:t>
        </w:r>
        <w:r w:rsidR="00D30876" w:rsidRPr="002F37EA">
          <w:rPr>
            <w:sz w:val="16"/>
            <w:szCs w:val="16"/>
          </w:rPr>
          <w:t>.2021</w:t>
        </w:r>
        <w:r w:rsidR="00D30876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D30876" w:rsidRPr="00E20B3F">
          <w:rPr>
            <w:sz w:val="16"/>
            <w:szCs w:val="16"/>
          </w:rPr>
          <w:t xml:space="preserve">Strona | </w:t>
        </w:r>
        <w:r w:rsidR="00D30876" w:rsidRPr="00E20B3F">
          <w:rPr>
            <w:sz w:val="16"/>
            <w:szCs w:val="16"/>
          </w:rPr>
          <w:fldChar w:fldCharType="begin"/>
        </w:r>
        <w:r w:rsidR="00D30876" w:rsidRPr="00E20B3F">
          <w:rPr>
            <w:sz w:val="16"/>
            <w:szCs w:val="16"/>
          </w:rPr>
          <w:instrText>PAGE   \* MERGEFORMAT</w:instrText>
        </w:r>
        <w:r w:rsidR="00D30876" w:rsidRPr="00E20B3F">
          <w:rPr>
            <w:sz w:val="16"/>
            <w:szCs w:val="16"/>
          </w:rPr>
          <w:fldChar w:fldCharType="separate"/>
        </w:r>
        <w:r w:rsidR="00585208">
          <w:rPr>
            <w:noProof/>
            <w:sz w:val="16"/>
            <w:szCs w:val="16"/>
          </w:rPr>
          <w:t>4</w:t>
        </w:r>
        <w:r w:rsidR="00D30876" w:rsidRPr="00E20B3F">
          <w:rPr>
            <w:sz w:val="16"/>
            <w:szCs w:val="16"/>
          </w:rPr>
          <w:fldChar w:fldCharType="end"/>
        </w:r>
        <w:r w:rsidR="00D30876">
          <w:t xml:space="preserve"> </w:t>
        </w:r>
      </w:p>
    </w:sdtContent>
  </w:sdt>
  <w:p w14:paraId="52344EBD" w14:textId="77777777" w:rsidR="00C5269B" w:rsidRDefault="00C5269B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AFB87" w14:textId="77777777" w:rsidR="003C2F3E" w:rsidRDefault="003C2F3E" w:rsidP="0038231F">
      <w:pPr>
        <w:spacing w:after="0" w:line="240" w:lineRule="auto"/>
      </w:pPr>
      <w:r>
        <w:separator/>
      </w:r>
    </w:p>
  </w:footnote>
  <w:footnote w:type="continuationSeparator" w:id="0">
    <w:p w14:paraId="3F8C4E38" w14:textId="77777777" w:rsidR="003C2F3E" w:rsidRDefault="003C2F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7EFC6" w14:textId="77777777" w:rsidR="00D30876" w:rsidRDefault="00D30876" w:rsidP="00D30876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>ZAŁĄCZNIK NR 1 DO SWZ</w:t>
    </w:r>
  </w:p>
  <w:p w14:paraId="320643D4" w14:textId="77777777" w:rsidR="00D30876" w:rsidRDefault="00D308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A353CF"/>
    <w:multiLevelType w:val="hybridMultilevel"/>
    <w:tmpl w:val="37949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7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17"/>
  </w:num>
  <w:num w:numId="9">
    <w:abstractNumId w:val="15"/>
  </w:num>
  <w:num w:numId="10">
    <w:abstractNumId w:val="18"/>
  </w:num>
  <w:num w:numId="11">
    <w:abstractNumId w:val="7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16"/>
  </w:num>
  <w:num w:numId="17">
    <w:abstractNumId w:val="14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140"/>
    <w:rsid w:val="00025C8D"/>
    <w:rsid w:val="000303EE"/>
    <w:rsid w:val="00054742"/>
    <w:rsid w:val="00066A1C"/>
    <w:rsid w:val="00067FAD"/>
    <w:rsid w:val="00073C3D"/>
    <w:rsid w:val="000809B6"/>
    <w:rsid w:val="00080BD5"/>
    <w:rsid w:val="00086244"/>
    <w:rsid w:val="00091D27"/>
    <w:rsid w:val="0009552F"/>
    <w:rsid w:val="000A757F"/>
    <w:rsid w:val="000B1025"/>
    <w:rsid w:val="000B54D1"/>
    <w:rsid w:val="000B5B49"/>
    <w:rsid w:val="000C021E"/>
    <w:rsid w:val="000C18AF"/>
    <w:rsid w:val="000D6F17"/>
    <w:rsid w:val="000D73C4"/>
    <w:rsid w:val="000E4D37"/>
    <w:rsid w:val="001057D7"/>
    <w:rsid w:val="00116247"/>
    <w:rsid w:val="00116631"/>
    <w:rsid w:val="001362FA"/>
    <w:rsid w:val="00140C78"/>
    <w:rsid w:val="00140D00"/>
    <w:rsid w:val="001901D0"/>
    <w:rsid w:val="001902D2"/>
    <w:rsid w:val="001967C2"/>
    <w:rsid w:val="001A76AA"/>
    <w:rsid w:val="001A7FF6"/>
    <w:rsid w:val="001B48B5"/>
    <w:rsid w:val="001B54AF"/>
    <w:rsid w:val="001C6945"/>
    <w:rsid w:val="001D5D48"/>
    <w:rsid w:val="001F027E"/>
    <w:rsid w:val="00202066"/>
    <w:rsid w:val="00203A40"/>
    <w:rsid w:val="002109C3"/>
    <w:rsid w:val="002168A8"/>
    <w:rsid w:val="002205D6"/>
    <w:rsid w:val="00252F55"/>
    <w:rsid w:val="00255142"/>
    <w:rsid w:val="002558C0"/>
    <w:rsid w:val="00256CEC"/>
    <w:rsid w:val="00262D61"/>
    <w:rsid w:val="0027094D"/>
    <w:rsid w:val="00280C30"/>
    <w:rsid w:val="00282A86"/>
    <w:rsid w:val="00290B01"/>
    <w:rsid w:val="002A1F30"/>
    <w:rsid w:val="002C1C7B"/>
    <w:rsid w:val="002C21BF"/>
    <w:rsid w:val="002C36C4"/>
    <w:rsid w:val="002C4948"/>
    <w:rsid w:val="002E216E"/>
    <w:rsid w:val="002E641A"/>
    <w:rsid w:val="00302912"/>
    <w:rsid w:val="00312569"/>
    <w:rsid w:val="00313417"/>
    <w:rsid w:val="00313911"/>
    <w:rsid w:val="00314840"/>
    <w:rsid w:val="00321FED"/>
    <w:rsid w:val="00327FC9"/>
    <w:rsid w:val="00333209"/>
    <w:rsid w:val="00333D78"/>
    <w:rsid w:val="00337073"/>
    <w:rsid w:val="00337E47"/>
    <w:rsid w:val="003408E8"/>
    <w:rsid w:val="00341BB5"/>
    <w:rsid w:val="00344486"/>
    <w:rsid w:val="003445D2"/>
    <w:rsid w:val="00345701"/>
    <w:rsid w:val="00350CD9"/>
    <w:rsid w:val="00351F8A"/>
    <w:rsid w:val="00364235"/>
    <w:rsid w:val="003644B8"/>
    <w:rsid w:val="00372C8B"/>
    <w:rsid w:val="00373331"/>
    <w:rsid w:val="00377DBE"/>
    <w:rsid w:val="0038231F"/>
    <w:rsid w:val="00383BB6"/>
    <w:rsid w:val="00394F69"/>
    <w:rsid w:val="00395171"/>
    <w:rsid w:val="003B2070"/>
    <w:rsid w:val="003B214C"/>
    <w:rsid w:val="003B7238"/>
    <w:rsid w:val="003C2F3E"/>
    <w:rsid w:val="003C3B64"/>
    <w:rsid w:val="003D7A9B"/>
    <w:rsid w:val="003F024C"/>
    <w:rsid w:val="003F1C54"/>
    <w:rsid w:val="003F7F1C"/>
    <w:rsid w:val="00423393"/>
    <w:rsid w:val="004279D9"/>
    <w:rsid w:val="00434C1B"/>
    <w:rsid w:val="00434CC2"/>
    <w:rsid w:val="004609F1"/>
    <w:rsid w:val="004651B5"/>
    <w:rsid w:val="004737DC"/>
    <w:rsid w:val="004761C6"/>
    <w:rsid w:val="00476E7D"/>
    <w:rsid w:val="00482F6E"/>
    <w:rsid w:val="00484F88"/>
    <w:rsid w:val="004B1250"/>
    <w:rsid w:val="004B4A25"/>
    <w:rsid w:val="004C4050"/>
    <w:rsid w:val="004C4854"/>
    <w:rsid w:val="004C5283"/>
    <w:rsid w:val="004D355B"/>
    <w:rsid w:val="004D7E48"/>
    <w:rsid w:val="004E0AB1"/>
    <w:rsid w:val="004F11DB"/>
    <w:rsid w:val="004F23F7"/>
    <w:rsid w:val="004F40EF"/>
    <w:rsid w:val="0051639F"/>
    <w:rsid w:val="00520174"/>
    <w:rsid w:val="0054019D"/>
    <w:rsid w:val="005641F0"/>
    <w:rsid w:val="005656B2"/>
    <w:rsid w:val="00585208"/>
    <w:rsid w:val="00596EFF"/>
    <w:rsid w:val="005C39CA"/>
    <w:rsid w:val="005E176A"/>
    <w:rsid w:val="005F3E8D"/>
    <w:rsid w:val="00604257"/>
    <w:rsid w:val="00607D8A"/>
    <w:rsid w:val="00620C78"/>
    <w:rsid w:val="006308EB"/>
    <w:rsid w:val="00634311"/>
    <w:rsid w:val="0065365E"/>
    <w:rsid w:val="00696A30"/>
    <w:rsid w:val="006A1856"/>
    <w:rsid w:val="006A3A1F"/>
    <w:rsid w:val="006A52B6"/>
    <w:rsid w:val="006A75BF"/>
    <w:rsid w:val="006B373D"/>
    <w:rsid w:val="006F0034"/>
    <w:rsid w:val="006F3D32"/>
    <w:rsid w:val="006F57A5"/>
    <w:rsid w:val="007037B1"/>
    <w:rsid w:val="007118F0"/>
    <w:rsid w:val="00717386"/>
    <w:rsid w:val="0072560B"/>
    <w:rsid w:val="00734112"/>
    <w:rsid w:val="007361DE"/>
    <w:rsid w:val="00741499"/>
    <w:rsid w:val="00746532"/>
    <w:rsid w:val="00751725"/>
    <w:rsid w:val="007566A8"/>
    <w:rsid w:val="00756C8F"/>
    <w:rsid w:val="00761D42"/>
    <w:rsid w:val="00774F11"/>
    <w:rsid w:val="007837B3"/>
    <w:rsid w:val="007840F2"/>
    <w:rsid w:val="007914AA"/>
    <w:rsid w:val="007936D6"/>
    <w:rsid w:val="007961C8"/>
    <w:rsid w:val="007A1D0B"/>
    <w:rsid w:val="007A6745"/>
    <w:rsid w:val="007A75FC"/>
    <w:rsid w:val="007B01C8"/>
    <w:rsid w:val="007B556A"/>
    <w:rsid w:val="007C39DE"/>
    <w:rsid w:val="007D5B61"/>
    <w:rsid w:val="007D628E"/>
    <w:rsid w:val="007E2F69"/>
    <w:rsid w:val="007F3487"/>
    <w:rsid w:val="00804F07"/>
    <w:rsid w:val="00822040"/>
    <w:rsid w:val="00825A09"/>
    <w:rsid w:val="00830AB1"/>
    <w:rsid w:val="00833FCD"/>
    <w:rsid w:val="00842991"/>
    <w:rsid w:val="00854B8B"/>
    <w:rsid w:val="00864B0E"/>
    <w:rsid w:val="008744DD"/>
    <w:rsid w:val="008757E1"/>
    <w:rsid w:val="008763A5"/>
    <w:rsid w:val="008871EE"/>
    <w:rsid w:val="00887F8B"/>
    <w:rsid w:val="00892488"/>
    <w:rsid w:val="00892E48"/>
    <w:rsid w:val="0089397A"/>
    <w:rsid w:val="00897268"/>
    <w:rsid w:val="008A6D9A"/>
    <w:rsid w:val="008A7BE7"/>
    <w:rsid w:val="008B4DE4"/>
    <w:rsid w:val="008C5709"/>
    <w:rsid w:val="008C6D6E"/>
    <w:rsid w:val="008C6DF8"/>
    <w:rsid w:val="008D0487"/>
    <w:rsid w:val="008D47A8"/>
    <w:rsid w:val="008F3B4E"/>
    <w:rsid w:val="00902C39"/>
    <w:rsid w:val="00905493"/>
    <w:rsid w:val="00906A92"/>
    <w:rsid w:val="0091264E"/>
    <w:rsid w:val="00913AAE"/>
    <w:rsid w:val="009240F7"/>
    <w:rsid w:val="009301A2"/>
    <w:rsid w:val="009440B7"/>
    <w:rsid w:val="00952535"/>
    <w:rsid w:val="00952B52"/>
    <w:rsid w:val="00956C26"/>
    <w:rsid w:val="00960337"/>
    <w:rsid w:val="009629D3"/>
    <w:rsid w:val="0096775C"/>
    <w:rsid w:val="00975019"/>
    <w:rsid w:val="00975C49"/>
    <w:rsid w:val="00981321"/>
    <w:rsid w:val="009B3725"/>
    <w:rsid w:val="009C717F"/>
    <w:rsid w:val="009C7756"/>
    <w:rsid w:val="009D2778"/>
    <w:rsid w:val="009E7492"/>
    <w:rsid w:val="00A13BAB"/>
    <w:rsid w:val="00A141DE"/>
    <w:rsid w:val="00A15F7E"/>
    <w:rsid w:val="00A166B0"/>
    <w:rsid w:val="00A22DCF"/>
    <w:rsid w:val="00A24C2D"/>
    <w:rsid w:val="00A276E4"/>
    <w:rsid w:val="00A3062E"/>
    <w:rsid w:val="00A347DE"/>
    <w:rsid w:val="00AD1FB8"/>
    <w:rsid w:val="00AD3D54"/>
    <w:rsid w:val="00AE4E4F"/>
    <w:rsid w:val="00AE6FF2"/>
    <w:rsid w:val="00AF41FE"/>
    <w:rsid w:val="00B0088C"/>
    <w:rsid w:val="00B110C1"/>
    <w:rsid w:val="00B147CA"/>
    <w:rsid w:val="00B15219"/>
    <w:rsid w:val="00B15FD3"/>
    <w:rsid w:val="00B2485E"/>
    <w:rsid w:val="00B34079"/>
    <w:rsid w:val="00B41A0F"/>
    <w:rsid w:val="00B519AF"/>
    <w:rsid w:val="00B550E4"/>
    <w:rsid w:val="00B67728"/>
    <w:rsid w:val="00B70C0F"/>
    <w:rsid w:val="00B779A9"/>
    <w:rsid w:val="00B8005E"/>
    <w:rsid w:val="00B821B0"/>
    <w:rsid w:val="00B90E42"/>
    <w:rsid w:val="00BA1007"/>
    <w:rsid w:val="00BB0C3C"/>
    <w:rsid w:val="00C014B5"/>
    <w:rsid w:val="00C0731C"/>
    <w:rsid w:val="00C15557"/>
    <w:rsid w:val="00C25C24"/>
    <w:rsid w:val="00C4103F"/>
    <w:rsid w:val="00C43167"/>
    <w:rsid w:val="00C5269B"/>
    <w:rsid w:val="00C57DEB"/>
    <w:rsid w:val="00C648D2"/>
    <w:rsid w:val="00C66F9F"/>
    <w:rsid w:val="00C72757"/>
    <w:rsid w:val="00C81012"/>
    <w:rsid w:val="00C90BF1"/>
    <w:rsid w:val="00C9797E"/>
    <w:rsid w:val="00C97C45"/>
    <w:rsid w:val="00CA325A"/>
    <w:rsid w:val="00CA469B"/>
    <w:rsid w:val="00CB7475"/>
    <w:rsid w:val="00CB7BDB"/>
    <w:rsid w:val="00CC1BD9"/>
    <w:rsid w:val="00CC33B7"/>
    <w:rsid w:val="00CE6AD8"/>
    <w:rsid w:val="00D05524"/>
    <w:rsid w:val="00D23F3D"/>
    <w:rsid w:val="00D30876"/>
    <w:rsid w:val="00D34D9A"/>
    <w:rsid w:val="00D36B85"/>
    <w:rsid w:val="00D409DE"/>
    <w:rsid w:val="00D42C9B"/>
    <w:rsid w:val="00D45534"/>
    <w:rsid w:val="00D531D5"/>
    <w:rsid w:val="00D7532C"/>
    <w:rsid w:val="00D859B5"/>
    <w:rsid w:val="00DA2324"/>
    <w:rsid w:val="00DA6EC7"/>
    <w:rsid w:val="00DC00A4"/>
    <w:rsid w:val="00DC265B"/>
    <w:rsid w:val="00DC27D6"/>
    <w:rsid w:val="00DD146A"/>
    <w:rsid w:val="00DD3E9D"/>
    <w:rsid w:val="00E022A1"/>
    <w:rsid w:val="00E03B2A"/>
    <w:rsid w:val="00E13956"/>
    <w:rsid w:val="00E1487E"/>
    <w:rsid w:val="00E21B42"/>
    <w:rsid w:val="00E309E9"/>
    <w:rsid w:val="00E31C06"/>
    <w:rsid w:val="00E35A3F"/>
    <w:rsid w:val="00E64142"/>
    <w:rsid w:val="00E64482"/>
    <w:rsid w:val="00E655D6"/>
    <w:rsid w:val="00E65685"/>
    <w:rsid w:val="00E71C83"/>
    <w:rsid w:val="00E73190"/>
    <w:rsid w:val="00E73CEB"/>
    <w:rsid w:val="00E8783C"/>
    <w:rsid w:val="00E90590"/>
    <w:rsid w:val="00E94BFE"/>
    <w:rsid w:val="00EB7CDE"/>
    <w:rsid w:val="00EC5079"/>
    <w:rsid w:val="00ED490D"/>
    <w:rsid w:val="00EE1FBF"/>
    <w:rsid w:val="00EF1E61"/>
    <w:rsid w:val="00EF6876"/>
    <w:rsid w:val="00EF74CA"/>
    <w:rsid w:val="00EF7F1B"/>
    <w:rsid w:val="00F04280"/>
    <w:rsid w:val="00F20433"/>
    <w:rsid w:val="00F365F2"/>
    <w:rsid w:val="00F43919"/>
    <w:rsid w:val="00F50991"/>
    <w:rsid w:val="00F64AB6"/>
    <w:rsid w:val="00F65F0B"/>
    <w:rsid w:val="00F87E40"/>
    <w:rsid w:val="00FC0317"/>
    <w:rsid w:val="00FE4E2B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295B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1A7F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ind w:left="283" w:hanging="283"/>
      <w:contextualSpacing/>
    </w:p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FD52-11B6-4472-BF5E-2AC7903A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OST-ZCAKOM-LAP</cp:lastModifiedBy>
  <cp:revision>31</cp:revision>
  <cp:lastPrinted>2021-07-22T10:08:00Z</cp:lastPrinted>
  <dcterms:created xsi:type="dcterms:W3CDTF">2021-07-30T12:11:00Z</dcterms:created>
  <dcterms:modified xsi:type="dcterms:W3CDTF">2021-09-03T10:02:00Z</dcterms:modified>
</cp:coreProperties>
</file>