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BFD39" w14:textId="1B148AA7" w:rsidR="0071301C" w:rsidRPr="003158A2" w:rsidRDefault="0071301C" w:rsidP="0071301C">
      <w:pPr>
        <w:tabs>
          <w:tab w:val="left" w:pos="5554"/>
        </w:tabs>
        <w:jc w:val="center"/>
        <w:rPr>
          <w:rFonts w:ascii="Arial" w:hAnsi="Arial" w:cs="Arial"/>
          <w:b/>
          <w:bCs/>
          <w:i/>
          <w:iCs/>
        </w:rPr>
      </w:pPr>
      <w:r w:rsidRPr="003158A2">
        <w:rPr>
          <w:rFonts w:ascii="Arial" w:hAnsi="Arial" w:cs="Arial"/>
          <w:b/>
        </w:rPr>
        <w:t>Remont drogi wojewódzkiej nr 544 Przasnysz – Ostrołęka od km 1</w:t>
      </w:r>
      <w:r>
        <w:rPr>
          <w:rFonts w:ascii="Arial" w:hAnsi="Arial" w:cs="Arial"/>
          <w:b/>
        </w:rPr>
        <w:t>51</w:t>
      </w:r>
      <w:r w:rsidRPr="003158A2">
        <w:rPr>
          <w:rFonts w:ascii="Arial" w:hAnsi="Arial" w:cs="Arial"/>
          <w:b/>
        </w:rPr>
        <w:t>+</w:t>
      </w:r>
      <w:r>
        <w:rPr>
          <w:rFonts w:ascii="Arial" w:hAnsi="Arial" w:cs="Arial"/>
          <w:b/>
        </w:rPr>
        <w:t>3</w:t>
      </w:r>
      <w:r w:rsidRPr="003158A2">
        <w:rPr>
          <w:rFonts w:ascii="Arial" w:hAnsi="Arial" w:cs="Arial"/>
          <w:b/>
        </w:rPr>
        <w:t xml:space="preserve">00 do km </w:t>
      </w:r>
      <w:r w:rsidRPr="009A07C0">
        <w:rPr>
          <w:rFonts w:ascii="Arial" w:hAnsi="Arial" w:cs="Arial"/>
          <w:b/>
        </w:rPr>
        <w:t>153+</w:t>
      </w:r>
      <w:r>
        <w:rPr>
          <w:rFonts w:ascii="Arial" w:hAnsi="Arial" w:cs="Arial"/>
          <w:b/>
        </w:rPr>
        <w:t>184</w:t>
      </w:r>
      <w:r>
        <w:rPr>
          <w:rFonts w:ascii="Arial" w:hAnsi="Arial" w:cs="Arial"/>
          <w:b/>
        </w:rPr>
        <w:t xml:space="preserve"> </w:t>
      </w:r>
      <w:r w:rsidRPr="003158A2">
        <w:rPr>
          <w:rFonts w:ascii="Arial" w:hAnsi="Arial" w:cs="Arial"/>
          <w:b/>
          <w:bCs/>
          <w:i/>
          <w:iCs/>
        </w:rPr>
        <w:t>m. Grabnik, Nowa Wieś</w:t>
      </w:r>
      <w:r>
        <w:rPr>
          <w:rFonts w:ascii="Arial" w:hAnsi="Arial" w:cs="Arial"/>
          <w:b/>
          <w:bCs/>
          <w:i/>
          <w:iCs/>
        </w:rPr>
        <w:t xml:space="preserve"> </w:t>
      </w:r>
      <w:r w:rsidRPr="003158A2">
        <w:rPr>
          <w:rFonts w:ascii="Arial" w:hAnsi="Arial" w:cs="Arial"/>
          <w:b/>
          <w:bCs/>
          <w:i/>
          <w:iCs/>
        </w:rPr>
        <w:t>na terenie gminy Olszewo Borki, powiat ostrołęcki</w:t>
      </w:r>
    </w:p>
    <w:p w14:paraId="19BA0C6C" w14:textId="77777777" w:rsidR="00FF5E76" w:rsidRPr="00FF5E76" w:rsidRDefault="00FF5E76" w:rsidP="00FF5E76">
      <w:pPr>
        <w:rPr>
          <w:rFonts w:ascii="Times New Roman" w:hAnsi="Times New Roman" w:cs="Times New Roman"/>
          <w:b/>
          <w:sz w:val="24"/>
          <w:szCs w:val="24"/>
        </w:rPr>
      </w:pPr>
    </w:p>
    <w:p w14:paraId="35754BDA" w14:textId="146C5179" w:rsidR="00FF5E76" w:rsidRPr="00FF5E76" w:rsidRDefault="00FF5E76" w:rsidP="00FF5E76">
      <w:pPr>
        <w:jc w:val="center"/>
        <w:rPr>
          <w:rFonts w:ascii="Times New Roman" w:hAnsi="Times New Roman" w:cs="Times New Roman"/>
          <w:b/>
          <w:sz w:val="24"/>
          <w:szCs w:val="24"/>
        </w:rPr>
      </w:pPr>
      <w:r w:rsidRPr="00FF5E76">
        <w:rPr>
          <w:rFonts w:ascii="Times New Roman" w:hAnsi="Times New Roman" w:cs="Times New Roman"/>
          <w:sz w:val="24"/>
          <w:szCs w:val="24"/>
        </w:rPr>
        <w:t>SPECYFIKACJ</w:t>
      </w:r>
      <w:r>
        <w:rPr>
          <w:rFonts w:ascii="Times New Roman" w:hAnsi="Times New Roman" w:cs="Times New Roman"/>
          <w:sz w:val="24"/>
          <w:szCs w:val="24"/>
        </w:rPr>
        <w:t>A</w:t>
      </w:r>
      <w:r w:rsidRPr="00FF5E76">
        <w:rPr>
          <w:rFonts w:ascii="Times New Roman" w:hAnsi="Times New Roman" w:cs="Times New Roman"/>
          <w:sz w:val="24"/>
          <w:szCs w:val="24"/>
        </w:rPr>
        <w:t xml:space="preserve"> TECHNICZN</w:t>
      </w:r>
      <w:r>
        <w:rPr>
          <w:rFonts w:ascii="Times New Roman" w:hAnsi="Times New Roman" w:cs="Times New Roman"/>
          <w:sz w:val="24"/>
          <w:szCs w:val="24"/>
        </w:rPr>
        <w:t>A</w:t>
      </w:r>
    </w:p>
    <w:p w14:paraId="6FEBB14D" w14:textId="567222C4" w:rsidR="00FF5E76" w:rsidRPr="00FF5E76" w:rsidRDefault="00FF5E76" w:rsidP="00FF5E76">
      <w:pPr>
        <w:rPr>
          <w:rFonts w:ascii="Times New Roman" w:hAnsi="Times New Roman" w:cs="Times New Roman"/>
          <w:sz w:val="24"/>
          <w:szCs w:val="24"/>
        </w:rPr>
      </w:pPr>
    </w:p>
    <w:p w14:paraId="3FFDBF46" w14:textId="77777777" w:rsidR="00FF5E76" w:rsidRPr="00FF5E76" w:rsidRDefault="00FF5E76" w:rsidP="00FF5E76">
      <w:pPr>
        <w:rPr>
          <w:rFonts w:ascii="Times New Roman" w:hAnsi="Times New Roman" w:cs="Times New Roman"/>
          <w:b/>
          <w:sz w:val="24"/>
          <w:szCs w:val="24"/>
        </w:rPr>
      </w:pPr>
    </w:p>
    <w:p w14:paraId="049FB447" w14:textId="77777777" w:rsidR="00FF5E76" w:rsidRPr="00FF5E76" w:rsidRDefault="00FF5E76" w:rsidP="00FF5E76">
      <w:pPr>
        <w:rPr>
          <w:rFonts w:ascii="Times New Roman" w:hAnsi="Times New Roman" w:cs="Times New Roman"/>
          <w:b/>
          <w:sz w:val="24"/>
          <w:szCs w:val="24"/>
        </w:rPr>
      </w:pPr>
    </w:p>
    <w:p w14:paraId="7DD3C515" w14:textId="77777777" w:rsidR="00FF5E76" w:rsidRPr="00FF5E76" w:rsidRDefault="00FF5E76" w:rsidP="00FF5E76">
      <w:pPr>
        <w:jc w:val="center"/>
        <w:rPr>
          <w:rFonts w:ascii="Times New Roman" w:hAnsi="Times New Roman" w:cs="Times New Roman"/>
          <w:b/>
          <w:sz w:val="24"/>
          <w:szCs w:val="24"/>
        </w:rPr>
      </w:pPr>
    </w:p>
    <w:p w14:paraId="403CA6CC" w14:textId="77777777" w:rsidR="00FF5E76" w:rsidRPr="00FF5E76" w:rsidRDefault="00FF5E76" w:rsidP="00FF5E76">
      <w:pPr>
        <w:jc w:val="center"/>
        <w:rPr>
          <w:rFonts w:ascii="Times New Roman" w:hAnsi="Times New Roman" w:cs="Times New Roman"/>
          <w:b/>
          <w:sz w:val="24"/>
          <w:szCs w:val="24"/>
        </w:rPr>
      </w:pPr>
      <w:r w:rsidRPr="00FF5E76">
        <w:rPr>
          <w:rFonts w:ascii="Times New Roman" w:hAnsi="Times New Roman" w:cs="Times New Roman"/>
          <w:b/>
          <w:sz w:val="24"/>
          <w:szCs w:val="24"/>
        </w:rPr>
        <w:t>D - 06.03.02</w:t>
      </w:r>
    </w:p>
    <w:p w14:paraId="71D7B6CC" w14:textId="77777777" w:rsidR="00FF5E76" w:rsidRPr="00FF5E76" w:rsidRDefault="00FF5E76" w:rsidP="00FF5E76">
      <w:pPr>
        <w:jc w:val="center"/>
        <w:rPr>
          <w:rFonts w:ascii="Times New Roman" w:hAnsi="Times New Roman" w:cs="Times New Roman"/>
          <w:b/>
          <w:sz w:val="24"/>
          <w:szCs w:val="24"/>
        </w:rPr>
      </w:pPr>
    </w:p>
    <w:p w14:paraId="7B8CB661" w14:textId="77777777" w:rsidR="00FF5E76" w:rsidRPr="00FF5E76" w:rsidRDefault="00FF5E76" w:rsidP="00FF5E76">
      <w:pPr>
        <w:jc w:val="center"/>
        <w:rPr>
          <w:rFonts w:ascii="Times New Roman" w:hAnsi="Times New Roman" w:cs="Times New Roman"/>
          <w:b/>
          <w:sz w:val="24"/>
          <w:szCs w:val="24"/>
        </w:rPr>
      </w:pPr>
      <w:r w:rsidRPr="00FF5E76">
        <w:rPr>
          <w:rFonts w:ascii="Times New Roman" w:hAnsi="Times New Roman" w:cs="Times New Roman"/>
          <w:b/>
          <w:sz w:val="24"/>
          <w:szCs w:val="24"/>
        </w:rPr>
        <w:t>NAPRAWA  POBOCZY  GRUNTOWYCH</w:t>
      </w:r>
    </w:p>
    <w:p w14:paraId="603D9442" w14:textId="77777777" w:rsidR="00FF5E76" w:rsidRPr="00FF5E76" w:rsidRDefault="00FF5E76" w:rsidP="00FF5E76">
      <w:pPr>
        <w:rPr>
          <w:rFonts w:ascii="Times New Roman" w:hAnsi="Times New Roman" w:cs="Times New Roman"/>
          <w:b/>
          <w:sz w:val="24"/>
          <w:szCs w:val="24"/>
        </w:rPr>
      </w:pPr>
    </w:p>
    <w:p w14:paraId="21682F01" w14:textId="77777777" w:rsidR="00FF5E76" w:rsidRPr="00FF5E76" w:rsidRDefault="00FF5E76" w:rsidP="00FF5E76">
      <w:pPr>
        <w:rPr>
          <w:rFonts w:ascii="Times New Roman" w:hAnsi="Times New Roman" w:cs="Times New Roman"/>
          <w:sz w:val="24"/>
          <w:szCs w:val="24"/>
        </w:rPr>
      </w:pPr>
    </w:p>
    <w:p w14:paraId="5EFFB969" w14:textId="77777777" w:rsidR="00FF5E76" w:rsidRPr="00FF5E76" w:rsidRDefault="00FF5E76" w:rsidP="00FF5E76">
      <w:pPr>
        <w:rPr>
          <w:rFonts w:ascii="Times New Roman" w:hAnsi="Times New Roman" w:cs="Times New Roman"/>
          <w:sz w:val="24"/>
          <w:szCs w:val="24"/>
        </w:rPr>
        <w:sectPr w:rsidR="00FF5E76" w:rsidRPr="00FF5E76" w:rsidSect="00FF5E76">
          <w:pgSz w:w="11907" w:h="16840"/>
          <w:pgMar w:top="2835" w:right="2268" w:bottom="2835" w:left="2268" w:header="1985" w:footer="1531" w:gutter="0"/>
          <w:cols w:space="708"/>
        </w:sectPr>
      </w:pPr>
    </w:p>
    <w:p w14:paraId="1378D879" w14:textId="77777777" w:rsidR="00FF5E76" w:rsidRPr="00FF5E76" w:rsidRDefault="00FF5E76" w:rsidP="00FF5E76">
      <w:pPr>
        <w:rPr>
          <w:rFonts w:ascii="Times New Roman" w:hAnsi="Times New Roman" w:cs="Times New Roman"/>
          <w:b/>
          <w:sz w:val="24"/>
          <w:szCs w:val="24"/>
        </w:rPr>
      </w:pPr>
      <w:bookmarkStart w:id="0" w:name="_Toc404150096"/>
      <w:bookmarkStart w:id="1" w:name="_Toc416830698"/>
      <w:bookmarkStart w:id="2" w:name="_Toc490624162"/>
      <w:r w:rsidRPr="00FF5E76">
        <w:rPr>
          <w:rFonts w:ascii="Times New Roman" w:hAnsi="Times New Roman" w:cs="Times New Roman"/>
          <w:b/>
          <w:sz w:val="24"/>
          <w:szCs w:val="24"/>
        </w:rPr>
        <w:lastRenderedPageBreak/>
        <w:t>1. WSTĘP</w:t>
      </w:r>
      <w:bookmarkEnd w:id="0"/>
      <w:bookmarkEnd w:id="1"/>
      <w:bookmarkEnd w:id="2"/>
    </w:p>
    <w:p w14:paraId="1E155FF1" w14:textId="0501C29E"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1.1. Przedmiot ST</w:t>
      </w:r>
    </w:p>
    <w:p w14:paraId="350E6D0E" w14:textId="2F93E165"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Przedmiotem niniejszej ogólnej specyfikacji technicznej (ST) są wymagania dotyczące wykonania i odbioru robót związanych z naprawą poboczy gruntowych.</w:t>
      </w:r>
    </w:p>
    <w:p w14:paraId="057A7706" w14:textId="573AA9CB"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1.2. Zakres stosowania ST</w:t>
      </w:r>
    </w:p>
    <w:p w14:paraId="2CF93469" w14:textId="77777777" w:rsidR="0071301C"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Specyfikacja techniczna stanowi dokument przetargowy i kontraktowy przy zlecaniu i realizacji remontu drogi wojewódzkiej</w:t>
      </w:r>
      <w:r w:rsidR="0071301C">
        <w:rPr>
          <w:rFonts w:ascii="Times New Roman" w:hAnsi="Times New Roman" w:cs="Times New Roman"/>
          <w:sz w:val="24"/>
          <w:szCs w:val="24"/>
        </w:rPr>
        <w:t>.</w:t>
      </w:r>
    </w:p>
    <w:p w14:paraId="070EB6A9" w14:textId="26BBDD9D"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1.3. Zakres robót objętych OST</w:t>
      </w:r>
    </w:p>
    <w:p w14:paraId="5A822E4F"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Ustalenia zawarte w niniejszej specyfikacji dotyczą zasad prowadzenia robót związanych z</w:t>
      </w:r>
      <w:r w:rsidRPr="00FF5E76">
        <w:rPr>
          <w:rFonts w:ascii="Times New Roman" w:hAnsi="Times New Roman" w:cs="Times New Roman"/>
          <w:b/>
          <w:sz w:val="24"/>
          <w:szCs w:val="24"/>
        </w:rPr>
        <w:t xml:space="preserve"> </w:t>
      </w:r>
      <w:r w:rsidRPr="00FF5E76">
        <w:rPr>
          <w:rFonts w:ascii="Times New Roman" w:hAnsi="Times New Roman" w:cs="Times New Roman"/>
          <w:sz w:val="24"/>
          <w:szCs w:val="24"/>
        </w:rPr>
        <w:t>wykonaniem i odbiorem naprawianych poboczy gruntowych, w zakresie:</w:t>
      </w:r>
    </w:p>
    <w:p w14:paraId="4F378063" w14:textId="77777777" w:rsidR="00FF5E76" w:rsidRPr="00FF5E76" w:rsidRDefault="00FF5E76" w:rsidP="00FF5E76">
      <w:pPr>
        <w:numPr>
          <w:ilvl w:val="0"/>
          <w:numId w:val="1"/>
        </w:numPr>
        <w:rPr>
          <w:rFonts w:ascii="Times New Roman" w:hAnsi="Times New Roman" w:cs="Times New Roman"/>
          <w:sz w:val="24"/>
          <w:szCs w:val="24"/>
        </w:rPr>
      </w:pPr>
      <w:r w:rsidRPr="00FF5E76">
        <w:rPr>
          <w:rFonts w:ascii="Times New Roman" w:hAnsi="Times New Roman" w:cs="Times New Roman"/>
          <w:sz w:val="24"/>
          <w:szCs w:val="24"/>
        </w:rPr>
        <w:t>naprawy lokalnie uszkodzonych poboczy,</w:t>
      </w:r>
    </w:p>
    <w:p w14:paraId="1F454131" w14:textId="77777777" w:rsidR="00FF5E76" w:rsidRPr="00FF5E76" w:rsidRDefault="00FF5E76" w:rsidP="00FF5E76">
      <w:pPr>
        <w:numPr>
          <w:ilvl w:val="0"/>
          <w:numId w:val="1"/>
        </w:numPr>
        <w:rPr>
          <w:rFonts w:ascii="Times New Roman" w:hAnsi="Times New Roman" w:cs="Times New Roman"/>
          <w:sz w:val="24"/>
          <w:szCs w:val="24"/>
        </w:rPr>
      </w:pPr>
      <w:r w:rsidRPr="00FF5E76">
        <w:rPr>
          <w:rFonts w:ascii="Times New Roman" w:hAnsi="Times New Roman" w:cs="Times New Roman"/>
          <w:sz w:val="24"/>
          <w:szCs w:val="24"/>
        </w:rPr>
        <w:t>profilowania i uzupełniania zaniżeń poboczy,</w:t>
      </w:r>
    </w:p>
    <w:p w14:paraId="3EE2A581" w14:textId="77777777" w:rsidR="00FF5E76" w:rsidRPr="00FF5E76" w:rsidRDefault="00FF5E76" w:rsidP="00FF5E76">
      <w:pPr>
        <w:numPr>
          <w:ilvl w:val="0"/>
          <w:numId w:val="1"/>
        </w:numPr>
        <w:rPr>
          <w:rFonts w:ascii="Times New Roman" w:hAnsi="Times New Roman" w:cs="Times New Roman"/>
          <w:sz w:val="24"/>
          <w:szCs w:val="24"/>
        </w:rPr>
      </w:pPr>
      <w:r w:rsidRPr="00FF5E76">
        <w:rPr>
          <w:rFonts w:ascii="Times New Roman" w:hAnsi="Times New Roman" w:cs="Times New Roman"/>
          <w:sz w:val="24"/>
          <w:szCs w:val="24"/>
        </w:rPr>
        <w:t>ścinania zawyżonych poboczy lub wykonania rowków odpływowych przez zawyżone pobocze.</w:t>
      </w:r>
    </w:p>
    <w:p w14:paraId="17F42241"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1.4. Określenia podstawowe</w:t>
      </w:r>
    </w:p>
    <w:p w14:paraId="0BD2C9AB" w14:textId="77777777" w:rsidR="00FF5E76" w:rsidRPr="00FF5E76" w:rsidRDefault="00FF5E76" w:rsidP="00FF5E76">
      <w:pPr>
        <w:numPr>
          <w:ilvl w:val="0"/>
          <w:numId w:val="2"/>
        </w:numPr>
        <w:rPr>
          <w:rFonts w:ascii="Times New Roman" w:hAnsi="Times New Roman" w:cs="Times New Roman"/>
          <w:sz w:val="24"/>
          <w:szCs w:val="24"/>
        </w:rPr>
      </w:pPr>
      <w:r w:rsidRPr="00FF5E76">
        <w:rPr>
          <w:rFonts w:ascii="Times New Roman" w:hAnsi="Times New Roman" w:cs="Times New Roman"/>
          <w:sz w:val="24"/>
          <w:szCs w:val="24"/>
        </w:rPr>
        <w:t>Pobocze gruntowe - część korony drogi przeznaczona do chwilowego zatrzymania się pojazdu, umieszczenia urządzeń bezpieczeństwa ruchu i wykorzystywana do ruchu pieszych, służąca jednocześnie do bocznego oparcia konstrukcji nawierzchni, wykonana z gruntu odpowiednio wyrównanego i ukształtowanego w profilu poprzecznym i podłużnym oraz zagęszczonego.</w:t>
      </w:r>
    </w:p>
    <w:p w14:paraId="308F657C" w14:textId="77777777" w:rsidR="00FF5E76" w:rsidRPr="00FF5E76" w:rsidRDefault="00FF5E76" w:rsidP="00FF5E76">
      <w:pPr>
        <w:numPr>
          <w:ilvl w:val="0"/>
          <w:numId w:val="2"/>
        </w:numPr>
        <w:rPr>
          <w:rFonts w:ascii="Times New Roman" w:hAnsi="Times New Roman" w:cs="Times New Roman"/>
          <w:sz w:val="24"/>
          <w:szCs w:val="24"/>
        </w:rPr>
      </w:pPr>
      <w:r w:rsidRPr="00FF5E76">
        <w:rPr>
          <w:rFonts w:ascii="Times New Roman" w:hAnsi="Times New Roman" w:cs="Times New Roman"/>
          <w:sz w:val="24"/>
          <w:szCs w:val="24"/>
        </w:rPr>
        <w:t>Dokop - miejsce pozyskania gruntu do wykonania uzupełnienia poboczy położone poza pasem drogowym.</w:t>
      </w:r>
    </w:p>
    <w:p w14:paraId="08352103" w14:textId="77777777" w:rsidR="00FF5E76" w:rsidRPr="00FF5E76" w:rsidRDefault="00FF5E76" w:rsidP="00FF5E76">
      <w:pPr>
        <w:numPr>
          <w:ilvl w:val="0"/>
          <w:numId w:val="2"/>
        </w:numPr>
        <w:rPr>
          <w:rFonts w:ascii="Times New Roman" w:hAnsi="Times New Roman" w:cs="Times New Roman"/>
          <w:sz w:val="24"/>
          <w:szCs w:val="24"/>
        </w:rPr>
      </w:pPr>
      <w:r w:rsidRPr="00FF5E76">
        <w:rPr>
          <w:rFonts w:ascii="Times New Roman" w:hAnsi="Times New Roman" w:cs="Times New Roman"/>
          <w:sz w:val="24"/>
          <w:szCs w:val="24"/>
        </w:rPr>
        <w:t>Odkład - miejsce wbudowania lub składowania (odwiezienia) gruntu pozyskanego w czasie ścinania poboczy, a nie wykorzystywanego do ich uzupełnienia.</w:t>
      </w:r>
    </w:p>
    <w:p w14:paraId="79403732" w14:textId="77777777" w:rsidR="00FF5E76" w:rsidRPr="00FF5E76" w:rsidRDefault="00FF5E76" w:rsidP="00FF5E76">
      <w:pPr>
        <w:numPr>
          <w:ilvl w:val="0"/>
          <w:numId w:val="2"/>
        </w:numPr>
        <w:rPr>
          <w:rFonts w:ascii="Times New Roman" w:hAnsi="Times New Roman" w:cs="Times New Roman"/>
          <w:sz w:val="24"/>
          <w:szCs w:val="24"/>
        </w:rPr>
      </w:pPr>
      <w:r w:rsidRPr="00FF5E76">
        <w:rPr>
          <w:rFonts w:ascii="Times New Roman" w:hAnsi="Times New Roman" w:cs="Times New Roman"/>
          <w:sz w:val="24"/>
          <w:szCs w:val="24"/>
        </w:rPr>
        <w:t>Wskaźnik zagęszczenia gruntu - wielkość charakteryzująca stan zagęszczenia gruntu, określona wg wzoru:</w:t>
      </w:r>
    </w:p>
    <w:p w14:paraId="2F92617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I</w:t>
      </w:r>
      <w:r w:rsidRPr="00FF5E76">
        <w:rPr>
          <w:rFonts w:ascii="Times New Roman" w:hAnsi="Times New Roman" w:cs="Times New Roman"/>
          <w:sz w:val="24"/>
          <w:szCs w:val="24"/>
          <w:vertAlign w:val="subscript"/>
        </w:rPr>
        <w:t xml:space="preserve">s  </w:t>
      </w:r>
      <w:r w:rsidRPr="00FF5E76">
        <w:rPr>
          <w:rFonts w:ascii="Times New Roman" w:hAnsi="Times New Roman" w:cs="Times New Roman"/>
          <w:sz w:val="24"/>
          <w:szCs w:val="24"/>
        </w:rPr>
        <w:t xml:space="preserve">=  </w:t>
      </w:r>
      <w:r w:rsidRPr="00FF5E76">
        <w:rPr>
          <w:rFonts w:ascii="Times New Roman" w:hAnsi="Times New Roman" w:cs="Times New Roman"/>
          <w:sz w:val="24"/>
          <w:szCs w:val="24"/>
        </w:rPr>
        <w:sym w:font="Symbol" w:char="F072"/>
      </w:r>
      <w:r w:rsidRPr="00FF5E76">
        <w:rPr>
          <w:rFonts w:ascii="Times New Roman" w:hAnsi="Times New Roman" w:cs="Times New Roman"/>
          <w:sz w:val="24"/>
          <w:szCs w:val="24"/>
          <w:vertAlign w:val="subscript"/>
        </w:rPr>
        <w:t>d</w:t>
      </w:r>
      <w:r w:rsidRPr="00FF5E76">
        <w:rPr>
          <w:rFonts w:ascii="Times New Roman" w:hAnsi="Times New Roman" w:cs="Times New Roman"/>
          <w:sz w:val="24"/>
          <w:szCs w:val="24"/>
        </w:rPr>
        <w:t xml:space="preserve"> / </w:t>
      </w:r>
      <w:r w:rsidRPr="00FF5E76">
        <w:rPr>
          <w:rFonts w:ascii="Times New Roman" w:hAnsi="Times New Roman" w:cs="Times New Roman"/>
          <w:sz w:val="24"/>
          <w:szCs w:val="24"/>
        </w:rPr>
        <w:sym w:font="Symbol" w:char="F072"/>
      </w:r>
      <w:r w:rsidRPr="00FF5E76">
        <w:rPr>
          <w:rFonts w:ascii="Times New Roman" w:hAnsi="Times New Roman" w:cs="Times New Roman"/>
          <w:sz w:val="24"/>
          <w:szCs w:val="24"/>
          <w:vertAlign w:val="subscript"/>
        </w:rPr>
        <w:t>ds</w:t>
      </w:r>
    </w:p>
    <w:p w14:paraId="1DB1E614"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gdzie:</w:t>
      </w:r>
      <w:r w:rsidRPr="00FF5E76">
        <w:rPr>
          <w:rFonts w:ascii="Times New Roman" w:hAnsi="Times New Roman" w:cs="Times New Roman"/>
          <w:sz w:val="24"/>
          <w:szCs w:val="24"/>
        </w:rPr>
        <w:tab/>
      </w:r>
      <w:r w:rsidRPr="00FF5E76">
        <w:rPr>
          <w:rFonts w:ascii="Times New Roman" w:hAnsi="Times New Roman" w:cs="Times New Roman"/>
          <w:sz w:val="24"/>
          <w:szCs w:val="24"/>
        </w:rPr>
        <w:sym w:font="Symbol" w:char="F072"/>
      </w:r>
      <w:r w:rsidRPr="00FF5E76">
        <w:rPr>
          <w:rFonts w:ascii="Times New Roman" w:hAnsi="Times New Roman" w:cs="Times New Roman"/>
          <w:sz w:val="24"/>
          <w:szCs w:val="24"/>
          <w:vertAlign w:val="subscript"/>
        </w:rPr>
        <w:t>d</w:t>
      </w:r>
      <w:r w:rsidRPr="00FF5E76">
        <w:rPr>
          <w:rFonts w:ascii="Times New Roman" w:hAnsi="Times New Roman" w:cs="Times New Roman"/>
          <w:sz w:val="24"/>
          <w:szCs w:val="24"/>
        </w:rPr>
        <w:t xml:space="preserve">   - gęstość objętościowa szkieletu zagęszczonego gruntu (Mg/m</w:t>
      </w:r>
      <w:r w:rsidRPr="00FF5E76">
        <w:rPr>
          <w:rFonts w:ascii="Times New Roman" w:hAnsi="Times New Roman" w:cs="Times New Roman"/>
          <w:sz w:val="24"/>
          <w:szCs w:val="24"/>
          <w:vertAlign w:val="superscript"/>
        </w:rPr>
        <w:t>3</w:t>
      </w:r>
      <w:r w:rsidRPr="00FF5E76">
        <w:rPr>
          <w:rFonts w:ascii="Times New Roman" w:hAnsi="Times New Roman" w:cs="Times New Roman"/>
          <w:sz w:val="24"/>
          <w:szCs w:val="24"/>
        </w:rPr>
        <w:t>)</w:t>
      </w:r>
    </w:p>
    <w:p w14:paraId="4CD44A8E"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 xml:space="preserve">              </w:t>
      </w:r>
      <w:r w:rsidRPr="00FF5E76">
        <w:rPr>
          <w:rFonts w:ascii="Times New Roman" w:hAnsi="Times New Roman" w:cs="Times New Roman"/>
          <w:sz w:val="24"/>
          <w:szCs w:val="24"/>
        </w:rPr>
        <w:sym w:font="Symbol" w:char="F072"/>
      </w:r>
      <w:r w:rsidRPr="00FF5E76">
        <w:rPr>
          <w:rFonts w:ascii="Times New Roman" w:hAnsi="Times New Roman" w:cs="Times New Roman"/>
          <w:sz w:val="24"/>
          <w:szCs w:val="24"/>
          <w:vertAlign w:val="subscript"/>
        </w:rPr>
        <w:t xml:space="preserve">ds </w:t>
      </w:r>
      <w:r w:rsidRPr="00FF5E76">
        <w:rPr>
          <w:rFonts w:ascii="Times New Roman" w:hAnsi="Times New Roman" w:cs="Times New Roman"/>
          <w:sz w:val="24"/>
          <w:szCs w:val="24"/>
        </w:rPr>
        <w:t>-maksymalna gęstość objętościowa szkieletu gruntowego (Mg/m</w:t>
      </w:r>
      <w:r w:rsidRPr="00FF5E76">
        <w:rPr>
          <w:rFonts w:ascii="Times New Roman" w:hAnsi="Times New Roman" w:cs="Times New Roman"/>
          <w:sz w:val="24"/>
          <w:szCs w:val="24"/>
          <w:vertAlign w:val="superscript"/>
        </w:rPr>
        <w:t>3</w:t>
      </w:r>
      <w:r w:rsidRPr="00FF5E76">
        <w:rPr>
          <w:rFonts w:ascii="Times New Roman" w:hAnsi="Times New Roman" w:cs="Times New Roman"/>
          <w:sz w:val="24"/>
          <w:szCs w:val="24"/>
        </w:rPr>
        <w:t>) przy wilgotności optymalnej, określona w normalnej próbce Proctora, zgodnie z PN-B-04481 [1], służąca do oceny zagęszczenia gruntu w robotach ziemnych, badana zgodnie z normą BN-77/8931-12 [6].</w:t>
      </w:r>
    </w:p>
    <w:p w14:paraId="073D19C2" w14:textId="77777777" w:rsidR="00FF5E76" w:rsidRPr="00FF5E76" w:rsidRDefault="00FF5E76" w:rsidP="00FF5E76">
      <w:pPr>
        <w:rPr>
          <w:rFonts w:ascii="Times New Roman" w:hAnsi="Times New Roman" w:cs="Times New Roman"/>
          <w:sz w:val="24"/>
          <w:szCs w:val="24"/>
        </w:rPr>
      </w:pPr>
    </w:p>
    <w:p w14:paraId="4E11D7BB" w14:textId="77777777" w:rsidR="00FF5E76" w:rsidRPr="00FF5E76" w:rsidRDefault="00FF5E76" w:rsidP="00FF5E76">
      <w:pPr>
        <w:numPr>
          <w:ilvl w:val="0"/>
          <w:numId w:val="3"/>
        </w:numPr>
        <w:rPr>
          <w:rFonts w:ascii="Times New Roman" w:hAnsi="Times New Roman" w:cs="Times New Roman"/>
          <w:sz w:val="24"/>
          <w:szCs w:val="24"/>
        </w:rPr>
      </w:pPr>
      <w:r w:rsidRPr="00FF5E76">
        <w:rPr>
          <w:rFonts w:ascii="Times New Roman" w:hAnsi="Times New Roman" w:cs="Times New Roman"/>
          <w:sz w:val="24"/>
          <w:szCs w:val="24"/>
        </w:rPr>
        <w:t>Wskaźnik różnoziarnistości - wielkość charakteryzująca zagęszczalność gruntów niespoistych, określona wg wzoru:</w:t>
      </w:r>
    </w:p>
    <w:p w14:paraId="1D8DF9E0"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U = d</w:t>
      </w:r>
      <w:r w:rsidRPr="00FF5E76">
        <w:rPr>
          <w:rFonts w:ascii="Times New Roman" w:hAnsi="Times New Roman" w:cs="Times New Roman"/>
          <w:sz w:val="24"/>
          <w:szCs w:val="24"/>
          <w:vertAlign w:val="subscript"/>
        </w:rPr>
        <w:t xml:space="preserve">60 </w:t>
      </w:r>
      <w:r w:rsidRPr="00FF5E76">
        <w:rPr>
          <w:rFonts w:ascii="Times New Roman" w:hAnsi="Times New Roman" w:cs="Times New Roman"/>
          <w:sz w:val="24"/>
          <w:szCs w:val="24"/>
        </w:rPr>
        <w:t>/ d</w:t>
      </w:r>
      <w:r w:rsidRPr="00FF5E76">
        <w:rPr>
          <w:rFonts w:ascii="Times New Roman" w:hAnsi="Times New Roman" w:cs="Times New Roman"/>
          <w:sz w:val="24"/>
          <w:szCs w:val="24"/>
          <w:vertAlign w:val="subscript"/>
        </w:rPr>
        <w:t>10</w:t>
      </w:r>
    </w:p>
    <w:p w14:paraId="6AB7D12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lastRenderedPageBreak/>
        <w:t>gdzie:</w:t>
      </w:r>
      <w:r w:rsidRPr="00FF5E76">
        <w:rPr>
          <w:rFonts w:ascii="Times New Roman" w:hAnsi="Times New Roman" w:cs="Times New Roman"/>
          <w:sz w:val="24"/>
          <w:szCs w:val="24"/>
        </w:rPr>
        <w:tab/>
        <w:t>d</w:t>
      </w:r>
      <w:r w:rsidRPr="00FF5E76">
        <w:rPr>
          <w:rFonts w:ascii="Times New Roman" w:hAnsi="Times New Roman" w:cs="Times New Roman"/>
          <w:sz w:val="24"/>
          <w:szCs w:val="24"/>
          <w:vertAlign w:val="subscript"/>
        </w:rPr>
        <w:t>60</w:t>
      </w:r>
      <w:r w:rsidRPr="00FF5E76">
        <w:rPr>
          <w:rFonts w:ascii="Times New Roman" w:hAnsi="Times New Roman" w:cs="Times New Roman"/>
          <w:sz w:val="24"/>
          <w:szCs w:val="24"/>
        </w:rPr>
        <w:t xml:space="preserve"> - średnica oczek sita, przez które przechodzi 60% gruntu (mm)</w:t>
      </w:r>
    </w:p>
    <w:p w14:paraId="28DFA9A6"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d</w:t>
      </w:r>
      <w:r w:rsidRPr="00FF5E76">
        <w:rPr>
          <w:rFonts w:ascii="Times New Roman" w:hAnsi="Times New Roman" w:cs="Times New Roman"/>
          <w:sz w:val="24"/>
          <w:szCs w:val="24"/>
          <w:vertAlign w:val="subscript"/>
        </w:rPr>
        <w:t>10</w:t>
      </w:r>
      <w:r w:rsidRPr="00FF5E76">
        <w:rPr>
          <w:rFonts w:ascii="Times New Roman" w:hAnsi="Times New Roman" w:cs="Times New Roman"/>
          <w:sz w:val="24"/>
          <w:szCs w:val="24"/>
        </w:rPr>
        <w:t xml:space="preserve"> - średnica oczek sita, przez które przechodzi 10% gruntu (mm).</w:t>
      </w:r>
    </w:p>
    <w:p w14:paraId="277C0F09"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b/>
          <w:sz w:val="24"/>
          <w:szCs w:val="24"/>
        </w:rPr>
        <w:t xml:space="preserve">1.4.6. </w:t>
      </w:r>
      <w:r w:rsidRPr="00FF5E76">
        <w:rPr>
          <w:rFonts w:ascii="Times New Roman" w:hAnsi="Times New Roman" w:cs="Times New Roman"/>
          <w:sz w:val="24"/>
          <w:szCs w:val="24"/>
        </w:rPr>
        <w:t>Mieszanka optymalna - mieszanka gruntu rodzimego z innym gruntem poprawiającym skład granulometryczny i właściwości gruntu rodzimego.</w:t>
      </w:r>
    </w:p>
    <w:p w14:paraId="5D599BEB" w14:textId="77777777" w:rsidR="00FF5E76" w:rsidRPr="00FF5E76" w:rsidRDefault="00FF5E76" w:rsidP="00FF5E76">
      <w:pPr>
        <w:numPr>
          <w:ilvl w:val="0"/>
          <w:numId w:val="4"/>
        </w:numPr>
        <w:rPr>
          <w:rFonts w:ascii="Times New Roman" w:hAnsi="Times New Roman" w:cs="Times New Roman"/>
          <w:sz w:val="24"/>
          <w:szCs w:val="24"/>
        </w:rPr>
      </w:pPr>
      <w:r w:rsidRPr="00FF5E76">
        <w:rPr>
          <w:rFonts w:ascii="Times New Roman" w:hAnsi="Times New Roman" w:cs="Times New Roman"/>
          <w:sz w:val="24"/>
          <w:szCs w:val="24"/>
        </w:rPr>
        <w:t xml:space="preserve">Pozostałe określenia podstawowe są zgodne z obowiązującymi, odpowiednimi polskimi normami i z definicjami podanymi w OST D-M-00.00.00 „Wymagania ogólne” pkt 1.4. </w:t>
      </w:r>
    </w:p>
    <w:p w14:paraId="51BF636E"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1.5. Ogólne wymagania dotyczące robót</w:t>
      </w:r>
    </w:p>
    <w:p w14:paraId="365663BB"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Ogólne wymagania dotyczące robót podano w OST D-M-00.00.00 „Wymagania ogólne” pkt 1.5.</w:t>
      </w:r>
    </w:p>
    <w:p w14:paraId="2B3CBE93" w14:textId="24CF6F83" w:rsidR="00FF5E76" w:rsidRPr="00FF5E76" w:rsidRDefault="00FF5E76" w:rsidP="00FF5E76">
      <w:pPr>
        <w:rPr>
          <w:rFonts w:ascii="Times New Roman" w:hAnsi="Times New Roman" w:cs="Times New Roman"/>
          <w:b/>
          <w:sz w:val="24"/>
          <w:szCs w:val="24"/>
        </w:rPr>
      </w:pPr>
      <w:bookmarkStart w:id="3" w:name="_Toc485450211"/>
      <w:bookmarkStart w:id="4" w:name="_Toc490288489"/>
      <w:bookmarkStart w:id="5" w:name="_Toc490624163"/>
      <w:r w:rsidRPr="00FF5E76">
        <w:rPr>
          <w:rFonts w:ascii="Times New Roman" w:hAnsi="Times New Roman" w:cs="Times New Roman"/>
          <w:b/>
          <w:sz w:val="24"/>
          <w:szCs w:val="24"/>
        </w:rPr>
        <w:t xml:space="preserve">2. </w:t>
      </w:r>
      <w:r>
        <w:rPr>
          <w:rFonts w:ascii="Times New Roman" w:hAnsi="Times New Roman" w:cs="Times New Roman"/>
          <w:b/>
          <w:sz w:val="24"/>
          <w:szCs w:val="24"/>
        </w:rPr>
        <w:t>M</w:t>
      </w:r>
      <w:r w:rsidRPr="00FF5E76">
        <w:rPr>
          <w:rFonts w:ascii="Times New Roman" w:hAnsi="Times New Roman" w:cs="Times New Roman"/>
          <w:b/>
          <w:sz w:val="24"/>
          <w:szCs w:val="24"/>
        </w:rPr>
        <w:t>ateriały</w:t>
      </w:r>
      <w:bookmarkEnd w:id="3"/>
      <w:bookmarkEnd w:id="4"/>
      <w:bookmarkEnd w:id="5"/>
    </w:p>
    <w:p w14:paraId="5467C55F"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2.1. Ogólne wymagania dotyczące materiałów</w:t>
      </w:r>
    </w:p>
    <w:p w14:paraId="2C0BC1A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Ogólne wymagania dotyczące materiałów, ich pozyskiwania i składowania, podano w  OST D-M-00.00.00 „Wymagania ogólne” pkt 2.</w:t>
      </w:r>
    </w:p>
    <w:p w14:paraId="5A10EBF9"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2.2. Rodzaje materiałów stosowane na uzupełnienia poboczy</w:t>
      </w:r>
    </w:p>
    <w:p w14:paraId="56399429" w14:textId="77777777" w:rsidR="00FF5E76" w:rsidRPr="00FF5E76" w:rsidRDefault="00FF5E76" w:rsidP="00FF5E76">
      <w:pPr>
        <w:numPr>
          <w:ilvl w:val="0"/>
          <w:numId w:val="5"/>
        </w:numPr>
        <w:rPr>
          <w:rFonts w:ascii="Times New Roman" w:hAnsi="Times New Roman" w:cs="Times New Roman"/>
          <w:sz w:val="24"/>
          <w:szCs w:val="24"/>
        </w:rPr>
      </w:pPr>
      <w:r w:rsidRPr="00FF5E76">
        <w:rPr>
          <w:rFonts w:ascii="Times New Roman" w:hAnsi="Times New Roman" w:cs="Times New Roman"/>
          <w:sz w:val="24"/>
          <w:szCs w:val="24"/>
        </w:rPr>
        <w:t>Grunty</w:t>
      </w:r>
    </w:p>
    <w:p w14:paraId="79F5C78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Na uzupełniania poboczy mogą być stosowane:</w:t>
      </w:r>
    </w:p>
    <w:p w14:paraId="64F46FB1"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rozdrobnione skały,</w:t>
      </w:r>
    </w:p>
    <w:p w14:paraId="106DB7A4"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żwiry i mieszanki, wg PN-B-11111 [2],</w:t>
      </w:r>
    </w:p>
    <w:p w14:paraId="5C2AB5FD"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piaski, wg PN-B-11113 [3],</w:t>
      </w:r>
    </w:p>
    <w:p w14:paraId="6D949994"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żużle wielkopiecowe wg PN-B-23004 [4] i inne żużle metalurgiczne ze starych hałd (nierozpadowe) drobnoziarniste lub gruboziarniste po uprzednim rozdrobnieniu oraz zbadaniu, że nie zawierają żadnych elementów szkodliwych dla środowiska naturalnego. Zaleca się stosowanie żużli, których okres składowania wynosi co najmniej 2 lata.</w:t>
      </w:r>
    </w:p>
    <w:p w14:paraId="78D4A777" w14:textId="77777777" w:rsidR="00FF5E76" w:rsidRPr="00FF5E76" w:rsidRDefault="00FF5E76" w:rsidP="00FF5E76">
      <w:pPr>
        <w:numPr>
          <w:ilvl w:val="0"/>
          <w:numId w:val="7"/>
        </w:numPr>
        <w:rPr>
          <w:rFonts w:ascii="Times New Roman" w:hAnsi="Times New Roman" w:cs="Times New Roman"/>
          <w:sz w:val="24"/>
          <w:szCs w:val="24"/>
        </w:rPr>
      </w:pPr>
      <w:r w:rsidRPr="00FF5E76">
        <w:rPr>
          <w:rFonts w:ascii="Times New Roman" w:hAnsi="Times New Roman" w:cs="Times New Roman"/>
          <w:sz w:val="24"/>
          <w:szCs w:val="24"/>
        </w:rPr>
        <w:t>Mieszanka gliniasto-piaskowa</w:t>
      </w:r>
    </w:p>
    <w:p w14:paraId="1129853B"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Do uzupełniania poboczy może być stosowana optymalna mieszanka gliniasto-piaskowa o ramowym składzie uziarnienia według tablicy 1. Krzywa uziarnienia mieszanki powinna posiadać uziarnienie ciągłe i leżeć w obszarze określonym na rysunku 1.</w:t>
      </w:r>
    </w:p>
    <w:p w14:paraId="00E8EBCC" w14:textId="77777777" w:rsidR="00FF5E76" w:rsidRPr="00FF5E76" w:rsidRDefault="00FF5E76" w:rsidP="00FF5E76">
      <w:pPr>
        <w:rPr>
          <w:rFonts w:ascii="Times New Roman" w:hAnsi="Times New Roman" w:cs="Times New Roman"/>
          <w:sz w:val="24"/>
          <w:szCs w:val="24"/>
        </w:rPr>
      </w:pPr>
    </w:p>
    <w:p w14:paraId="02AAAFE7" w14:textId="77777777" w:rsidR="00FF5E76" w:rsidRPr="00FF5E76" w:rsidRDefault="00FF5E76" w:rsidP="00FF5E76">
      <w:pPr>
        <w:rPr>
          <w:rFonts w:ascii="Times New Roman" w:hAnsi="Times New Roman" w:cs="Times New Roman"/>
          <w:sz w:val="24"/>
          <w:szCs w:val="24"/>
        </w:rPr>
      </w:pPr>
    </w:p>
    <w:p w14:paraId="692AECA3" w14:textId="77777777" w:rsidR="00FF5E76" w:rsidRPr="00FF5E76" w:rsidRDefault="00FF5E76" w:rsidP="00FF5E76">
      <w:pPr>
        <w:rPr>
          <w:rFonts w:ascii="Times New Roman" w:hAnsi="Times New Roman" w:cs="Times New Roman"/>
          <w:sz w:val="24"/>
          <w:szCs w:val="24"/>
        </w:rPr>
      </w:pPr>
    </w:p>
    <w:p w14:paraId="2EC505A3" w14:textId="77777777" w:rsidR="00FF5E76" w:rsidRPr="00FF5E76" w:rsidRDefault="00FF5E76" w:rsidP="00FF5E76">
      <w:pPr>
        <w:rPr>
          <w:rFonts w:ascii="Times New Roman" w:hAnsi="Times New Roman" w:cs="Times New Roman"/>
          <w:sz w:val="24"/>
          <w:szCs w:val="24"/>
        </w:rPr>
      </w:pPr>
    </w:p>
    <w:p w14:paraId="57761654" w14:textId="77777777" w:rsidR="00FF5E76" w:rsidRPr="00FF5E76" w:rsidRDefault="00FF5E76" w:rsidP="00FF5E76">
      <w:pPr>
        <w:rPr>
          <w:rFonts w:ascii="Times New Roman" w:hAnsi="Times New Roman" w:cs="Times New Roman"/>
          <w:sz w:val="24"/>
          <w:szCs w:val="24"/>
        </w:rPr>
      </w:pPr>
    </w:p>
    <w:p w14:paraId="684385BB"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Tablica 1. Ramowy skład uziarnienia optymalnej mieszanki gliniasto-piaskowej</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677"/>
        <w:gridCol w:w="2337"/>
      </w:tblGrid>
      <w:tr w:rsidR="00FF5E76" w:rsidRPr="00FF5E76" w14:paraId="75AE8AA7" w14:textId="77777777" w:rsidTr="00FF5E76">
        <w:tc>
          <w:tcPr>
            <w:tcW w:w="496" w:type="dxa"/>
            <w:tcBorders>
              <w:top w:val="single" w:sz="6" w:space="0" w:color="auto"/>
              <w:left w:val="single" w:sz="6" w:space="0" w:color="auto"/>
              <w:bottom w:val="double" w:sz="6" w:space="0" w:color="auto"/>
              <w:right w:val="single" w:sz="6" w:space="0" w:color="auto"/>
            </w:tcBorders>
            <w:hideMark/>
          </w:tcPr>
          <w:p w14:paraId="016E4263"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lastRenderedPageBreak/>
              <w:t>Lp.</w:t>
            </w:r>
          </w:p>
        </w:tc>
        <w:tc>
          <w:tcPr>
            <w:tcW w:w="4677" w:type="dxa"/>
            <w:tcBorders>
              <w:top w:val="single" w:sz="6" w:space="0" w:color="auto"/>
              <w:left w:val="single" w:sz="6" w:space="0" w:color="auto"/>
              <w:bottom w:val="double" w:sz="6" w:space="0" w:color="auto"/>
              <w:right w:val="single" w:sz="6" w:space="0" w:color="auto"/>
            </w:tcBorders>
            <w:hideMark/>
          </w:tcPr>
          <w:p w14:paraId="7DF56F35"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Właściwość</w:t>
            </w:r>
          </w:p>
        </w:tc>
        <w:tc>
          <w:tcPr>
            <w:tcW w:w="2337" w:type="dxa"/>
            <w:tcBorders>
              <w:top w:val="single" w:sz="6" w:space="0" w:color="auto"/>
              <w:left w:val="single" w:sz="6" w:space="0" w:color="auto"/>
              <w:bottom w:val="double" w:sz="6" w:space="0" w:color="auto"/>
              <w:right w:val="single" w:sz="6" w:space="0" w:color="auto"/>
            </w:tcBorders>
            <w:hideMark/>
          </w:tcPr>
          <w:p w14:paraId="4BB83AA4"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Wymagania</w:t>
            </w:r>
          </w:p>
        </w:tc>
      </w:tr>
      <w:tr w:rsidR="00FF5E76" w:rsidRPr="00FF5E76" w14:paraId="762C9366" w14:textId="77777777" w:rsidTr="00FF5E76">
        <w:tc>
          <w:tcPr>
            <w:tcW w:w="496" w:type="dxa"/>
            <w:tcBorders>
              <w:top w:val="nil"/>
              <w:left w:val="single" w:sz="6" w:space="0" w:color="auto"/>
              <w:bottom w:val="single" w:sz="6" w:space="0" w:color="auto"/>
              <w:right w:val="single" w:sz="6" w:space="0" w:color="auto"/>
            </w:tcBorders>
            <w:hideMark/>
          </w:tcPr>
          <w:p w14:paraId="440A2A25"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1</w:t>
            </w:r>
          </w:p>
        </w:tc>
        <w:tc>
          <w:tcPr>
            <w:tcW w:w="4677" w:type="dxa"/>
            <w:tcBorders>
              <w:top w:val="nil"/>
              <w:left w:val="single" w:sz="6" w:space="0" w:color="auto"/>
              <w:bottom w:val="single" w:sz="6" w:space="0" w:color="auto"/>
              <w:right w:val="single" w:sz="6" w:space="0" w:color="auto"/>
            </w:tcBorders>
            <w:hideMark/>
          </w:tcPr>
          <w:p w14:paraId="54FFA27C"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Zawartość frakcji żwirowej (powyżej # 2 mm), %</w:t>
            </w:r>
          </w:p>
        </w:tc>
        <w:tc>
          <w:tcPr>
            <w:tcW w:w="2337" w:type="dxa"/>
            <w:tcBorders>
              <w:top w:val="nil"/>
              <w:left w:val="single" w:sz="6" w:space="0" w:color="auto"/>
              <w:bottom w:val="single" w:sz="6" w:space="0" w:color="auto"/>
              <w:right w:val="single" w:sz="6" w:space="0" w:color="auto"/>
            </w:tcBorders>
            <w:hideMark/>
          </w:tcPr>
          <w:p w14:paraId="6E094F1A"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od 0 do 10</w:t>
            </w:r>
          </w:p>
        </w:tc>
      </w:tr>
      <w:tr w:rsidR="00FF5E76" w:rsidRPr="00FF5E76" w14:paraId="257F8E7D" w14:textId="77777777" w:rsidTr="00FF5E76">
        <w:tc>
          <w:tcPr>
            <w:tcW w:w="496" w:type="dxa"/>
            <w:tcBorders>
              <w:top w:val="single" w:sz="6" w:space="0" w:color="auto"/>
              <w:left w:val="single" w:sz="6" w:space="0" w:color="auto"/>
              <w:bottom w:val="single" w:sz="6" w:space="0" w:color="auto"/>
              <w:right w:val="single" w:sz="6" w:space="0" w:color="auto"/>
            </w:tcBorders>
            <w:hideMark/>
          </w:tcPr>
          <w:p w14:paraId="271FB31B"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2</w:t>
            </w:r>
          </w:p>
        </w:tc>
        <w:tc>
          <w:tcPr>
            <w:tcW w:w="4677" w:type="dxa"/>
            <w:tcBorders>
              <w:top w:val="single" w:sz="6" w:space="0" w:color="auto"/>
              <w:left w:val="single" w:sz="6" w:space="0" w:color="auto"/>
              <w:bottom w:val="single" w:sz="6" w:space="0" w:color="auto"/>
              <w:right w:val="single" w:sz="6" w:space="0" w:color="auto"/>
            </w:tcBorders>
            <w:hideMark/>
          </w:tcPr>
          <w:p w14:paraId="0626E0D0"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Zawartość frakcji piaskowej (od 0,05 do 2,00 mm), %</w:t>
            </w:r>
          </w:p>
        </w:tc>
        <w:tc>
          <w:tcPr>
            <w:tcW w:w="2337" w:type="dxa"/>
            <w:tcBorders>
              <w:top w:val="single" w:sz="6" w:space="0" w:color="auto"/>
              <w:left w:val="single" w:sz="6" w:space="0" w:color="auto"/>
              <w:bottom w:val="single" w:sz="6" w:space="0" w:color="auto"/>
              <w:right w:val="single" w:sz="6" w:space="0" w:color="auto"/>
            </w:tcBorders>
            <w:hideMark/>
          </w:tcPr>
          <w:p w14:paraId="1C8B426A"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od 70 do 85</w:t>
            </w:r>
          </w:p>
        </w:tc>
      </w:tr>
      <w:tr w:rsidR="00FF5E76" w:rsidRPr="00FF5E76" w14:paraId="29566C0E" w14:textId="77777777" w:rsidTr="00FF5E76">
        <w:tc>
          <w:tcPr>
            <w:tcW w:w="496" w:type="dxa"/>
            <w:tcBorders>
              <w:top w:val="single" w:sz="6" w:space="0" w:color="auto"/>
              <w:left w:val="single" w:sz="6" w:space="0" w:color="auto"/>
              <w:bottom w:val="single" w:sz="6" w:space="0" w:color="auto"/>
              <w:right w:val="single" w:sz="6" w:space="0" w:color="auto"/>
            </w:tcBorders>
            <w:hideMark/>
          </w:tcPr>
          <w:p w14:paraId="298A0ACF"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3</w:t>
            </w:r>
          </w:p>
        </w:tc>
        <w:tc>
          <w:tcPr>
            <w:tcW w:w="4677" w:type="dxa"/>
            <w:tcBorders>
              <w:top w:val="single" w:sz="6" w:space="0" w:color="auto"/>
              <w:left w:val="single" w:sz="6" w:space="0" w:color="auto"/>
              <w:bottom w:val="single" w:sz="6" w:space="0" w:color="auto"/>
              <w:right w:val="single" w:sz="6" w:space="0" w:color="auto"/>
            </w:tcBorders>
            <w:hideMark/>
          </w:tcPr>
          <w:p w14:paraId="2FCD5FEC"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Zawartość frakcji pyłowej (od 0,002 do 0,05mm), %</w:t>
            </w:r>
          </w:p>
        </w:tc>
        <w:tc>
          <w:tcPr>
            <w:tcW w:w="2337" w:type="dxa"/>
            <w:tcBorders>
              <w:top w:val="single" w:sz="6" w:space="0" w:color="auto"/>
              <w:left w:val="single" w:sz="6" w:space="0" w:color="auto"/>
              <w:bottom w:val="single" w:sz="6" w:space="0" w:color="auto"/>
              <w:right w:val="single" w:sz="6" w:space="0" w:color="auto"/>
            </w:tcBorders>
            <w:hideMark/>
          </w:tcPr>
          <w:p w14:paraId="74E5A77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od 12 do 23</w:t>
            </w:r>
          </w:p>
        </w:tc>
      </w:tr>
      <w:tr w:rsidR="00FF5E76" w:rsidRPr="00FF5E76" w14:paraId="536D0DF8" w14:textId="77777777" w:rsidTr="00FF5E76">
        <w:tc>
          <w:tcPr>
            <w:tcW w:w="496" w:type="dxa"/>
            <w:tcBorders>
              <w:top w:val="single" w:sz="6" w:space="0" w:color="auto"/>
              <w:left w:val="single" w:sz="6" w:space="0" w:color="auto"/>
              <w:bottom w:val="single" w:sz="6" w:space="0" w:color="auto"/>
              <w:right w:val="single" w:sz="6" w:space="0" w:color="auto"/>
            </w:tcBorders>
            <w:hideMark/>
          </w:tcPr>
          <w:p w14:paraId="737C173F"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4</w:t>
            </w:r>
          </w:p>
        </w:tc>
        <w:tc>
          <w:tcPr>
            <w:tcW w:w="4677" w:type="dxa"/>
            <w:tcBorders>
              <w:top w:val="single" w:sz="6" w:space="0" w:color="auto"/>
              <w:left w:val="single" w:sz="6" w:space="0" w:color="auto"/>
              <w:bottom w:val="single" w:sz="6" w:space="0" w:color="auto"/>
              <w:right w:val="single" w:sz="6" w:space="0" w:color="auto"/>
            </w:tcBorders>
            <w:hideMark/>
          </w:tcPr>
          <w:p w14:paraId="7A94B4A2"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Zawartość frakcji iłowej (powyżej 0,002 mm), %</w:t>
            </w:r>
          </w:p>
        </w:tc>
        <w:tc>
          <w:tcPr>
            <w:tcW w:w="2337" w:type="dxa"/>
            <w:tcBorders>
              <w:top w:val="single" w:sz="6" w:space="0" w:color="auto"/>
              <w:left w:val="single" w:sz="6" w:space="0" w:color="auto"/>
              <w:bottom w:val="single" w:sz="6" w:space="0" w:color="auto"/>
              <w:right w:val="single" w:sz="6" w:space="0" w:color="auto"/>
            </w:tcBorders>
            <w:hideMark/>
          </w:tcPr>
          <w:p w14:paraId="35E2A8A8"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od 3 do 7</w:t>
            </w:r>
          </w:p>
        </w:tc>
      </w:tr>
    </w:tbl>
    <w:p w14:paraId="19BDD43D" w14:textId="77777777" w:rsidR="00FF5E76" w:rsidRPr="00FF5E76" w:rsidRDefault="00FF5E76" w:rsidP="00FF5E76">
      <w:pPr>
        <w:rPr>
          <w:rFonts w:ascii="Times New Roman" w:hAnsi="Times New Roman" w:cs="Times New Roman"/>
          <w:sz w:val="24"/>
          <w:szCs w:val="24"/>
        </w:rPr>
      </w:pPr>
    </w:p>
    <w:p w14:paraId="2283E647" w14:textId="2B4E344A"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noProof/>
          <w:sz w:val="24"/>
          <w:szCs w:val="24"/>
        </w:rPr>
        <w:drawing>
          <wp:inline distT="0" distB="0" distL="0" distR="0" wp14:anchorId="73A8B9AC" wp14:editId="21972883">
            <wp:extent cx="4676775" cy="3543300"/>
            <wp:effectExtent l="0" t="0" r="9525" b="0"/>
            <wp:docPr id="1857433269" name="Obraz 4" descr="Obraz zawierający tekst, diagram, linia, Równolegl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433269" name="Obraz 4" descr="Obraz zawierający tekst, diagram, linia, Równolegle&#10;&#10;Opis wygenerowany automatyczni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76775" cy="3543300"/>
                    </a:xfrm>
                    <a:prstGeom prst="rect">
                      <a:avLst/>
                    </a:prstGeom>
                    <a:noFill/>
                    <a:ln>
                      <a:noFill/>
                    </a:ln>
                  </pic:spPr>
                </pic:pic>
              </a:graphicData>
            </a:graphic>
          </wp:inline>
        </w:drawing>
      </w:r>
    </w:p>
    <w:p w14:paraId="3925FB86"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Rys. 1. Obszar uziarnienia optymalnej mieszanki gliniasto-piaskowej</w:t>
      </w:r>
    </w:p>
    <w:p w14:paraId="012F1355" w14:textId="77777777" w:rsidR="00FF5E76" w:rsidRPr="00FF5E76" w:rsidRDefault="00FF5E76" w:rsidP="00FF5E76">
      <w:pPr>
        <w:numPr>
          <w:ilvl w:val="0"/>
          <w:numId w:val="8"/>
        </w:numPr>
        <w:rPr>
          <w:rFonts w:ascii="Times New Roman" w:hAnsi="Times New Roman" w:cs="Times New Roman"/>
          <w:sz w:val="24"/>
          <w:szCs w:val="24"/>
        </w:rPr>
      </w:pPr>
      <w:r w:rsidRPr="00FF5E76">
        <w:rPr>
          <w:rFonts w:ascii="Times New Roman" w:hAnsi="Times New Roman" w:cs="Times New Roman"/>
          <w:sz w:val="24"/>
          <w:szCs w:val="24"/>
        </w:rPr>
        <w:t>Mieszanka gliniasto-żwirowa</w:t>
      </w:r>
    </w:p>
    <w:p w14:paraId="06055A95"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Optymalna mieszanka gliniasto-żwirowa powinna mieć ramowy skład uziarnienia wg tablicy 2, a jej krzywa uziarnienia powinna posiadać uziarnienie ciągłe i leżeć w obszarze określonym na rysunku 2.</w:t>
      </w:r>
    </w:p>
    <w:p w14:paraId="1670AA2C" w14:textId="77777777" w:rsidR="00FF5E76" w:rsidRDefault="00FF5E76" w:rsidP="00FF5E76">
      <w:pPr>
        <w:rPr>
          <w:rFonts w:ascii="Times New Roman" w:hAnsi="Times New Roman" w:cs="Times New Roman"/>
          <w:sz w:val="24"/>
          <w:szCs w:val="24"/>
        </w:rPr>
      </w:pPr>
    </w:p>
    <w:p w14:paraId="2364F600" w14:textId="77777777" w:rsidR="00FF5E76" w:rsidRDefault="00FF5E76" w:rsidP="00FF5E76">
      <w:pPr>
        <w:rPr>
          <w:rFonts w:ascii="Times New Roman" w:hAnsi="Times New Roman" w:cs="Times New Roman"/>
          <w:sz w:val="24"/>
          <w:szCs w:val="24"/>
        </w:rPr>
      </w:pPr>
    </w:p>
    <w:p w14:paraId="3095B6F5" w14:textId="77777777" w:rsidR="00FF5E76" w:rsidRPr="00FF5E76" w:rsidRDefault="00FF5E76" w:rsidP="00FF5E76">
      <w:pPr>
        <w:rPr>
          <w:rFonts w:ascii="Times New Roman" w:hAnsi="Times New Roman" w:cs="Times New Roman"/>
          <w:sz w:val="24"/>
          <w:szCs w:val="24"/>
        </w:rPr>
      </w:pPr>
    </w:p>
    <w:p w14:paraId="7B3D271D"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Tablica 2. Ramowy skład uziarnienia optymalnej mieszanki gliniasto-żwirowej</w:t>
      </w:r>
    </w:p>
    <w:tbl>
      <w:tblPr>
        <w:tblW w:w="0" w:type="auto"/>
        <w:tblLayout w:type="fixed"/>
        <w:tblCellMar>
          <w:left w:w="70" w:type="dxa"/>
          <w:right w:w="70" w:type="dxa"/>
        </w:tblCellMar>
        <w:tblLook w:val="04A0" w:firstRow="1" w:lastRow="0" w:firstColumn="1" w:lastColumn="0" w:noHBand="0" w:noVBand="1"/>
      </w:tblPr>
      <w:tblGrid>
        <w:gridCol w:w="2622"/>
        <w:gridCol w:w="1222"/>
        <w:gridCol w:w="1222"/>
        <w:gridCol w:w="1222"/>
        <w:gridCol w:w="1222"/>
      </w:tblGrid>
      <w:tr w:rsidR="00FF5E76" w:rsidRPr="00FF5E76" w14:paraId="596E5600" w14:textId="77777777" w:rsidTr="00FF5E76">
        <w:tc>
          <w:tcPr>
            <w:tcW w:w="2622" w:type="dxa"/>
            <w:tcBorders>
              <w:top w:val="single" w:sz="6" w:space="0" w:color="auto"/>
              <w:left w:val="single" w:sz="6" w:space="0" w:color="auto"/>
              <w:bottom w:val="nil"/>
              <w:right w:val="nil"/>
            </w:tcBorders>
            <w:hideMark/>
          </w:tcPr>
          <w:p w14:paraId="74128F41"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lastRenderedPageBreak/>
              <w:t>Wymiary oczek kwadratowych</w:t>
            </w:r>
          </w:p>
        </w:tc>
        <w:tc>
          <w:tcPr>
            <w:tcW w:w="4888" w:type="dxa"/>
            <w:gridSpan w:val="4"/>
            <w:tcBorders>
              <w:top w:val="single" w:sz="6" w:space="0" w:color="auto"/>
              <w:left w:val="single" w:sz="6" w:space="0" w:color="auto"/>
              <w:bottom w:val="single" w:sz="6" w:space="0" w:color="auto"/>
              <w:right w:val="single" w:sz="6" w:space="0" w:color="auto"/>
            </w:tcBorders>
            <w:hideMark/>
          </w:tcPr>
          <w:p w14:paraId="070EAF78"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Przechodzi przez sito, %</w:t>
            </w:r>
          </w:p>
        </w:tc>
      </w:tr>
      <w:tr w:rsidR="00FF5E76" w:rsidRPr="00FF5E76" w14:paraId="5E50256A" w14:textId="77777777" w:rsidTr="00FF5E76">
        <w:tc>
          <w:tcPr>
            <w:tcW w:w="2622" w:type="dxa"/>
            <w:tcBorders>
              <w:top w:val="nil"/>
              <w:left w:val="single" w:sz="6" w:space="0" w:color="auto"/>
              <w:bottom w:val="double" w:sz="6" w:space="0" w:color="auto"/>
              <w:right w:val="nil"/>
            </w:tcBorders>
            <w:hideMark/>
          </w:tcPr>
          <w:p w14:paraId="78E61BCF"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sit (mm)</w:t>
            </w:r>
          </w:p>
        </w:tc>
        <w:tc>
          <w:tcPr>
            <w:tcW w:w="2444" w:type="dxa"/>
            <w:gridSpan w:val="2"/>
            <w:tcBorders>
              <w:top w:val="single" w:sz="6" w:space="0" w:color="auto"/>
              <w:left w:val="single" w:sz="6" w:space="0" w:color="auto"/>
              <w:bottom w:val="double" w:sz="6" w:space="0" w:color="auto"/>
              <w:right w:val="single" w:sz="6" w:space="0" w:color="auto"/>
            </w:tcBorders>
            <w:hideMark/>
          </w:tcPr>
          <w:p w14:paraId="2EC5BDED"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na warstwę dolną</w:t>
            </w:r>
          </w:p>
        </w:tc>
        <w:tc>
          <w:tcPr>
            <w:tcW w:w="2444" w:type="dxa"/>
            <w:gridSpan w:val="2"/>
            <w:tcBorders>
              <w:top w:val="single" w:sz="6" w:space="0" w:color="auto"/>
              <w:left w:val="single" w:sz="6" w:space="0" w:color="auto"/>
              <w:bottom w:val="double" w:sz="6" w:space="0" w:color="auto"/>
              <w:right w:val="single" w:sz="6" w:space="0" w:color="auto"/>
            </w:tcBorders>
            <w:hideMark/>
          </w:tcPr>
          <w:p w14:paraId="7313EBF6"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na warstwę górną</w:t>
            </w:r>
          </w:p>
        </w:tc>
      </w:tr>
      <w:tr w:rsidR="00FF5E76" w:rsidRPr="00FF5E76" w14:paraId="0A04A80B" w14:textId="77777777" w:rsidTr="00FF5E76">
        <w:tc>
          <w:tcPr>
            <w:tcW w:w="2622" w:type="dxa"/>
            <w:tcBorders>
              <w:top w:val="single" w:sz="6" w:space="0" w:color="auto"/>
              <w:left w:val="single" w:sz="6" w:space="0" w:color="auto"/>
              <w:bottom w:val="single" w:sz="6" w:space="0" w:color="auto"/>
              <w:right w:val="single" w:sz="6" w:space="0" w:color="auto"/>
            </w:tcBorders>
            <w:hideMark/>
          </w:tcPr>
          <w:p w14:paraId="43B846D3"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40</w:t>
            </w:r>
          </w:p>
          <w:p w14:paraId="0F81D509"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20</w:t>
            </w:r>
          </w:p>
          <w:p w14:paraId="02D67F95"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2</w:t>
            </w:r>
          </w:p>
          <w:p w14:paraId="79E92B4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0,05</w:t>
            </w:r>
          </w:p>
          <w:p w14:paraId="012E2CD3"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0,002</w:t>
            </w:r>
          </w:p>
        </w:tc>
        <w:tc>
          <w:tcPr>
            <w:tcW w:w="1222" w:type="dxa"/>
            <w:tcBorders>
              <w:top w:val="single" w:sz="6" w:space="0" w:color="auto"/>
              <w:left w:val="single" w:sz="6" w:space="0" w:color="auto"/>
              <w:bottom w:val="single" w:sz="6" w:space="0" w:color="auto"/>
              <w:right w:val="single" w:sz="6" w:space="0" w:color="auto"/>
            </w:tcBorders>
            <w:hideMark/>
          </w:tcPr>
          <w:p w14:paraId="637A3F9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w:t>
            </w:r>
          </w:p>
          <w:p w14:paraId="63E672C0"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100</w:t>
            </w:r>
          </w:p>
          <w:p w14:paraId="1ACD0E76"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90</w:t>
            </w:r>
          </w:p>
          <w:p w14:paraId="47B08F1F"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25</w:t>
            </w:r>
          </w:p>
          <w:p w14:paraId="5B6F7253"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7</w:t>
            </w:r>
          </w:p>
        </w:tc>
        <w:tc>
          <w:tcPr>
            <w:tcW w:w="1222" w:type="dxa"/>
            <w:tcBorders>
              <w:top w:val="single" w:sz="6" w:space="0" w:color="auto"/>
              <w:left w:val="single" w:sz="6" w:space="0" w:color="auto"/>
              <w:bottom w:val="single" w:sz="6" w:space="0" w:color="auto"/>
              <w:right w:val="single" w:sz="6" w:space="0" w:color="auto"/>
            </w:tcBorders>
            <w:hideMark/>
          </w:tcPr>
          <w:p w14:paraId="5D81C0BA"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100</w:t>
            </w:r>
          </w:p>
          <w:p w14:paraId="55CB92F5"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70</w:t>
            </w:r>
          </w:p>
          <w:p w14:paraId="7DD1B6B6"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30</w:t>
            </w:r>
          </w:p>
          <w:p w14:paraId="715B720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10</w:t>
            </w:r>
          </w:p>
          <w:p w14:paraId="5C3277F1"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4</w:t>
            </w:r>
          </w:p>
        </w:tc>
        <w:tc>
          <w:tcPr>
            <w:tcW w:w="1222" w:type="dxa"/>
            <w:tcBorders>
              <w:top w:val="single" w:sz="6" w:space="0" w:color="auto"/>
              <w:left w:val="single" w:sz="6" w:space="0" w:color="auto"/>
              <w:bottom w:val="single" w:sz="6" w:space="0" w:color="auto"/>
              <w:right w:val="single" w:sz="6" w:space="0" w:color="auto"/>
            </w:tcBorders>
            <w:hideMark/>
          </w:tcPr>
          <w:p w14:paraId="17304D11"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w:t>
            </w:r>
          </w:p>
          <w:p w14:paraId="330949F6"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w:t>
            </w:r>
          </w:p>
          <w:p w14:paraId="06673278"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90</w:t>
            </w:r>
          </w:p>
          <w:p w14:paraId="4007DFBD"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25</w:t>
            </w:r>
          </w:p>
          <w:p w14:paraId="091F2DB4"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7</w:t>
            </w:r>
          </w:p>
        </w:tc>
        <w:tc>
          <w:tcPr>
            <w:tcW w:w="1222" w:type="dxa"/>
            <w:tcBorders>
              <w:top w:val="single" w:sz="6" w:space="0" w:color="auto"/>
              <w:left w:val="single" w:sz="6" w:space="0" w:color="auto"/>
              <w:bottom w:val="single" w:sz="6" w:space="0" w:color="auto"/>
              <w:right w:val="single" w:sz="6" w:space="0" w:color="auto"/>
            </w:tcBorders>
            <w:hideMark/>
          </w:tcPr>
          <w:p w14:paraId="0C29164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w:t>
            </w:r>
          </w:p>
          <w:p w14:paraId="1F486B00"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100</w:t>
            </w:r>
          </w:p>
          <w:p w14:paraId="383DA43C"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40</w:t>
            </w:r>
          </w:p>
          <w:p w14:paraId="2FD26558"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10</w:t>
            </w:r>
          </w:p>
          <w:p w14:paraId="3586A8C0"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4</w:t>
            </w:r>
          </w:p>
        </w:tc>
      </w:tr>
    </w:tbl>
    <w:p w14:paraId="6FAF5CC0" w14:textId="17AF6606"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noProof/>
          <w:sz w:val="24"/>
          <w:szCs w:val="24"/>
        </w:rPr>
        <w:drawing>
          <wp:inline distT="0" distB="0" distL="0" distR="0" wp14:anchorId="2AE7F0D3" wp14:editId="5EEC12B9">
            <wp:extent cx="4676775" cy="2971800"/>
            <wp:effectExtent l="0" t="0" r="9525" b="0"/>
            <wp:docPr id="301914816" name="Obraz 3" descr="Obraz zawierający tekst, diagram,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914816" name="Obraz 3" descr="Obraz zawierający tekst, diagram, linia&#10;&#10;Opis wygenerowany automatyczni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76775" cy="2971800"/>
                    </a:xfrm>
                    <a:prstGeom prst="rect">
                      <a:avLst/>
                    </a:prstGeom>
                    <a:noFill/>
                    <a:ln>
                      <a:noFill/>
                    </a:ln>
                  </pic:spPr>
                </pic:pic>
              </a:graphicData>
            </a:graphic>
          </wp:inline>
        </w:drawing>
      </w:r>
    </w:p>
    <w:p w14:paraId="358618C7" w14:textId="77777777" w:rsidR="00FF5E76" w:rsidRPr="00FF5E76" w:rsidRDefault="00FF5E76" w:rsidP="00FF5E76">
      <w:pPr>
        <w:rPr>
          <w:rFonts w:ascii="Times New Roman" w:hAnsi="Times New Roman" w:cs="Times New Roman"/>
          <w:sz w:val="24"/>
          <w:szCs w:val="24"/>
        </w:rPr>
      </w:pPr>
    </w:p>
    <w:p w14:paraId="74715AD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Rys. 2. Obszar uziarnienia optymalnej mieszanki gliniasto-żwirowej</w:t>
      </w:r>
    </w:p>
    <w:p w14:paraId="3BB6CE0F" w14:textId="77777777" w:rsidR="00FF5E76" w:rsidRPr="00FF5E76" w:rsidRDefault="00FF5E76" w:rsidP="00FF5E76">
      <w:pPr>
        <w:numPr>
          <w:ilvl w:val="0"/>
          <w:numId w:val="9"/>
        </w:numPr>
        <w:rPr>
          <w:rFonts w:ascii="Times New Roman" w:hAnsi="Times New Roman" w:cs="Times New Roman"/>
          <w:sz w:val="24"/>
          <w:szCs w:val="24"/>
        </w:rPr>
      </w:pPr>
      <w:r w:rsidRPr="00FF5E76">
        <w:rPr>
          <w:rFonts w:ascii="Times New Roman" w:hAnsi="Times New Roman" w:cs="Times New Roman"/>
          <w:sz w:val="24"/>
          <w:szCs w:val="24"/>
        </w:rPr>
        <w:t>Mieszanka gruntów z kruszywami odpadowymi</w:t>
      </w:r>
    </w:p>
    <w:p w14:paraId="6F0BFB46"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Do uzupełnienia poboczy można również stosować mieszankę gruntu pobocza z:</w:t>
      </w:r>
    </w:p>
    <w:p w14:paraId="39B3A6DD"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odpadami kruszywa łamanego (frakcji od 0 do 4; od 0 do 8; od 0 do 12; od 0 do             16 mm),</w:t>
      </w:r>
    </w:p>
    <w:p w14:paraId="3C153EA2"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żużlami paleniskowymi hutniczymi po zakończeniu procesu ich rozpadu (frakcja od 0 do 31,3 mm).</w:t>
      </w:r>
    </w:p>
    <w:p w14:paraId="1610983B" w14:textId="77777777" w:rsidR="00FF5E76" w:rsidRPr="00FF5E76" w:rsidRDefault="00FF5E76" w:rsidP="00FF5E76">
      <w:pPr>
        <w:numPr>
          <w:ilvl w:val="0"/>
          <w:numId w:val="10"/>
        </w:numPr>
        <w:rPr>
          <w:rFonts w:ascii="Times New Roman" w:hAnsi="Times New Roman" w:cs="Times New Roman"/>
          <w:sz w:val="24"/>
          <w:szCs w:val="24"/>
        </w:rPr>
      </w:pPr>
      <w:r w:rsidRPr="00FF5E76">
        <w:rPr>
          <w:rFonts w:ascii="Times New Roman" w:hAnsi="Times New Roman" w:cs="Times New Roman"/>
          <w:sz w:val="24"/>
          <w:szCs w:val="24"/>
        </w:rPr>
        <w:t>Destrukt z frezowania nawierzchni bitumicznych</w:t>
      </w:r>
    </w:p>
    <w:p w14:paraId="15ACDEEF" w14:textId="77777777" w:rsid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Do uzupełnienia poboczy można stosować destrukt o granulacji od 0 do 16 mm.</w:t>
      </w:r>
    </w:p>
    <w:p w14:paraId="5B6F5143" w14:textId="77777777" w:rsidR="00FF5E76" w:rsidRDefault="00FF5E76" w:rsidP="00FF5E76">
      <w:pPr>
        <w:rPr>
          <w:rFonts w:ascii="Times New Roman" w:hAnsi="Times New Roman" w:cs="Times New Roman"/>
          <w:sz w:val="24"/>
          <w:szCs w:val="24"/>
        </w:rPr>
      </w:pPr>
    </w:p>
    <w:p w14:paraId="080551B0" w14:textId="77777777" w:rsidR="00FF5E76" w:rsidRPr="00FF5E76" w:rsidRDefault="00FF5E76" w:rsidP="00FF5E76">
      <w:pPr>
        <w:rPr>
          <w:rFonts w:ascii="Times New Roman" w:hAnsi="Times New Roman" w:cs="Times New Roman"/>
          <w:sz w:val="24"/>
          <w:szCs w:val="24"/>
        </w:rPr>
      </w:pPr>
    </w:p>
    <w:p w14:paraId="23F145F3"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2.3. Wymagania dla gruntów i mieszanek</w:t>
      </w:r>
    </w:p>
    <w:p w14:paraId="7A154DEC"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lastRenderedPageBreak/>
        <w:tab/>
        <w:t>Materiały wyszczególnione w pktach od 2.2.1 do 2.2.4 powinny mieć odpowiednio zróżnicowane frakcje, a ich wskaźnik różnoziarnistości powinien spełniać warunek wyrażony wzorem:</w:t>
      </w:r>
    </w:p>
    <w:p w14:paraId="1E5B3DFD"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U = d</w:t>
      </w:r>
      <w:r w:rsidRPr="00FF5E76">
        <w:rPr>
          <w:rFonts w:ascii="Times New Roman" w:hAnsi="Times New Roman" w:cs="Times New Roman"/>
          <w:sz w:val="24"/>
          <w:szCs w:val="24"/>
          <w:vertAlign w:val="subscript"/>
        </w:rPr>
        <w:t>60</w:t>
      </w:r>
      <w:r w:rsidRPr="00FF5E76">
        <w:rPr>
          <w:rFonts w:ascii="Times New Roman" w:hAnsi="Times New Roman" w:cs="Times New Roman"/>
          <w:sz w:val="24"/>
          <w:szCs w:val="24"/>
        </w:rPr>
        <w:t xml:space="preserve"> / d</w:t>
      </w:r>
      <w:r w:rsidRPr="00FF5E76">
        <w:rPr>
          <w:rFonts w:ascii="Times New Roman" w:hAnsi="Times New Roman" w:cs="Times New Roman"/>
          <w:sz w:val="24"/>
          <w:szCs w:val="24"/>
          <w:vertAlign w:val="subscript"/>
        </w:rPr>
        <w:t xml:space="preserve">10 </w:t>
      </w:r>
      <w:r w:rsidRPr="00FF5E76">
        <w:rPr>
          <w:rFonts w:ascii="Times New Roman" w:hAnsi="Times New Roman" w:cs="Times New Roman"/>
          <w:sz w:val="24"/>
          <w:szCs w:val="24"/>
        </w:rPr>
        <w:t xml:space="preserve"> </w:t>
      </w:r>
      <w:r w:rsidRPr="00FF5E76">
        <w:rPr>
          <w:rFonts w:ascii="Times New Roman" w:hAnsi="Times New Roman" w:cs="Times New Roman"/>
          <w:sz w:val="24"/>
          <w:szCs w:val="24"/>
        </w:rPr>
        <w:sym w:font="Symbol" w:char="F0B3"/>
      </w:r>
      <w:r w:rsidRPr="00FF5E76">
        <w:rPr>
          <w:rFonts w:ascii="Times New Roman" w:hAnsi="Times New Roman" w:cs="Times New Roman"/>
          <w:sz w:val="24"/>
          <w:szCs w:val="24"/>
        </w:rPr>
        <w:t xml:space="preserve">  5</w:t>
      </w:r>
    </w:p>
    <w:p w14:paraId="2D65D213"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O ile nie przewidziano tego inaczej w SST, przydatność materiału Wykonawca powinien sprawdzić na odcinku próbnym i uzyskać zgodę Inżyniera na zastosowanie tego materiału.</w:t>
      </w:r>
    </w:p>
    <w:p w14:paraId="36390176"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2.4. Woda</w:t>
      </w:r>
    </w:p>
    <w:p w14:paraId="43F9EE8C"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Należy stosować wodę odpowiadającą wymaganiom PN-B-32250 [5]. Bez badań laboratoryjnych można stosować pitną wodę wodociągową.</w:t>
      </w:r>
    </w:p>
    <w:p w14:paraId="6641532A" w14:textId="4C957BDE" w:rsidR="00FF5E76" w:rsidRPr="00FF5E76" w:rsidRDefault="00FF5E76" w:rsidP="00FF5E76">
      <w:pPr>
        <w:rPr>
          <w:rFonts w:ascii="Times New Roman" w:hAnsi="Times New Roman" w:cs="Times New Roman"/>
          <w:b/>
          <w:sz w:val="24"/>
          <w:szCs w:val="24"/>
        </w:rPr>
      </w:pPr>
      <w:bookmarkStart w:id="6" w:name="_Toc485450212"/>
      <w:bookmarkStart w:id="7" w:name="_Toc490288490"/>
      <w:bookmarkStart w:id="8" w:name="_Toc490449784"/>
      <w:bookmarkStart w:id="9" w:name="_Toc490624164"/>
      <w:r w:rsidRPr="00FF5E76">
        <w:rPr>
          <w:rFonts w:ascii="Times New Roman" w:hAnsi="Times New Roman" w:cs="Times New Roman"/>
          <w:b/>
          <w:sz w:val="24"/>
          <w:szCs w:val="24"/>
        </w:rPr>
        <w:t xml:space="preserve">3. </w:t>
      </w:r>
      <w:r>
        <w:rPr>
          <w:rFonts w:ascii="Times New Roman" w:hAnsi="Times New Roman" w:cs="Times New Roman"/>
          <w:b/>
          <w:sz w:val="24"/>
          <w:szCs w:val="24"/>
        </w:rPr>
        <w:t>S</w:t>
      </w:r>
      <w:r w:rsidRPr="00FF5E76">
        <w:rPr>
          <w:rFonts w:ascii="Times New Roman" w:hAnsi="Times New Roman" w:cs="Times New Roman"/>
          <w:b/>
          <w:sz w:val="24"/>
          <w:szCs w:val="24"/>
        </w:rPr>
        <w:t>przęt</w:t>
      </w:r>
      <w:bookmarkEnd w:id="6"/>
      <w:bookmarkEnd w:id="7"/>
      <w:bookmarkEnd w:id="8"/>
      <w:bookmarkEnd w:id="9"/>
    </w:p>
    <w:p w14:paraId="73205815"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3.1. Ogólne wymagania dotyczące sprzętu</w:t>
      </w:r>
    </w:p>
    <w:p w14:paraId="3AE01810"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Ogólne wymagania dotyczące sprzętu podano w OST D-M-00.00.00 „Wymagania ogólne” pkt 3.</w:t>
      </w:r>
    </w:p>
    <w:p w14:paraId="4207F029"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3.2. Sprzęt do wykonania robót</w:t>
      </w:r>
    </w:p>
    <w:p w14:paraId="45952046"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Wykonawca przystępujący do naprawy poboczy gruntowych powinien wykazać się możliwością korzystania z następującego sprzętu:</w:t>
      </w:r>
    </w:p>
    <w:p w14:paraId="0503ECEF"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zrywarek, kultywatorów lub bron talerzowych do ewentualnego spulchnienia gruntów,</w:t>
      </w:r>
    </w:p>
    <w:p w14:paraId="17058E24" w14:textId="77777777" w:rsid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ścinarek poboczy,</w:t>
      </w:r>
    </w:p>
    <w:p w14:paraId="15BA8380" w14:textId="00B17CB4" w:rsidR="00FF5E76" w:rsidRPr="00FF5E76" w:rsidRDefault="00FF5E76" w:rsidP="00FF5E76">
      <w:pPr>
        <w:numPr>
          <w:ilvl w:val="0"/>
          <w:numId w:val="6"/>
        </w:numPr>
        <w:rPr>
          <w:rFonts w:ascii="Times New Roman" w:hAnsi="Times New Roman" w:cs="Times New Roman"/>
          <w:sz w:val="24"/>
          <w:szCs w:val="24"/>
        </w:rPr>
      </w:pPr>
      <w:r>
        <w:rPr>
          <w:rFonts w:ascii="Times New Roman" w:hAnsi="Times New Roman" w:cs="Times New Roman"/>
          <w:sz w:val="24"/>
          <w:szCs w:val="24"/>
        </w:rPr>
        <w:t>koparki,</w:t>
      </w:r>
    </w:p>
    <w:p w14:paraId="4B2ABBF8"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ładowarek czołowych i chwytakowych do załadunku gruntu,</w:t>
      </w:r>
    </w:p>
    <w:p w14:paraId="4179EF1D"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walców statycznych gładkich i ogumionych wielokołowych lub walców wibracyjnych do 5 ton,</w:t>
      </w:r>
    </w:p>
    <w:p w14:paraId="7DD6F317"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płytowych zagęszczarek wibracyjnych,</w:t>
      </w:r>
    </w:p>
    <w:p w14:paraId="3A38A51A"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przewoźnych zbiorników na wodę wyposażonych w urządzenia do równomiernego              i kontrolowanego rozpryskiwania wody oraz w pompy do napełniania zbiorników wodą,</w:t>
      </w:r>
    </w:p>
    <w:p w14:paraId="2A22B814"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szczotek mechanicznych.</w:t>
      </w:r>
    </w:p>
    <w:p w14:paraId="10FCA4BF" w14:textId="6BE981E3" w:rsidR="00FF5E76" w:rsidRPr="00FF5E76" w:rsidRDefault="00FF5E76" w:rsidP="00FF5E76">
      <w:pPr>
        <w:rPr>
          <w:rFonts w:ascii="Times New Roman" w:hAnsi="Times New Roman" w:cs="Times New Roman"/>
          <w:b/>
          <w:sz w:val="24"/>
          <w:szCs w:val="24"/>
        </w:rPr>
      </w:pPr>
      <w:bookmarkStart w:id="10" w:name="_Toc485450213"/>
      <w:bookmarkStart w:id="11" w:name="_Toc490288491"/>
      <w:bookmarkStart w:id="12" w:name="_Toc490449785"/>
      <w:bookmarkStart w:id="13" w:name="_Toc490624165"/>
      <w:r w:rsidRPr="00FF5E76">
        <w:rPr>
          <w:rFonts w:ascii="Times New Roman" w:hAnsi="Times New Roman" w:cs="Times New Roman"/>
          <w:b/>
          <w:sz w:val="24"/>
          <w:szCs w:val="24"/>
        </w:rPr>
        <w:t xml:space="preserve">4. </w:t>
      </w:r>
      <w:r>
        <w:rPr>
          <w:rFonts w:ascii="Times New Roman" w:hAnsi="Times New Roman" w:cs="Times New Roman"/>
          <w:b/>
          <w:sz w:val="24"/>
          <w:szCs w:val="24"/>
        </w:rPr>
        <w:t>T</w:t>
      </w:r>
      <w:r w:rsidRPr="00FF5E76">
        <w:rPr>
          <w:rFonts w:ascii="Times New Roman" w:hAnsi="Times New Roman" w:cs="Times New Roman"/>
          <w:b/>
          <w:sz w:val="24"/>
          <w:szCs w:val="24"/>
        </w:rPr>
        <w:t>ransport</w:t>
      </w:r>
      <w:bookmarkEnd w:id="10"/>
      <w:bookmarkEnd w:id="11"/>
      <w:bookmarkEnd w:id="12"/>
      <w:bookmarkEnd w:id="13"/>
    </w:p>
    <w:p w14:paraId="4748DFD2"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4.1. Ogólne wymagania dotyczące transportu</w:t>
      </w:r>
    </w:p>
    <w:p w14:paraId="51BF4A1D" w14:textId="77777777" w:rsid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Ogólne wymagania dotyczące transportu podano w OST D-M-00.00.00 „Wymagania ogólne” pkt 4.</w:t>
      </w:r>
    </w:p>
    <w:p w14:paraId="749E4777" w14:textId="77777777" w:rsidR="00FF5E76" w:rsidRDefault="00FF5E76" w:rsidP="00FF5E76">
      <w:pPr>
        <w:rPr>
          <w:rFonts w:ascii="Times New Roman" w:hAnsi="Times New Roman" w:cs="Times New Roman"/>
          <w:sz w:val="24"/>
          <w:szCs w:val="24"/>
        </w:rPr>
      </w:pPr>
    </w:p>
    <w:p w14:paraId="6A4B1EDE" w14:textId="77777777" w:rsidR="00FF5E76" w:rsidRPr="00FF5E76" w:rsidRDefault="00FF5E76" w:rsidP="00FF5E76">
      <w:pPr>
        <w:rPr>
          <w:rFonts w:ascii="Times New Roman" w:hAnsi="Times New Roman" w:cs="Times New Roman"/>
          <w:sz w:val="24"/>
          <w:szCs w:val="24"/>
        </w:rPr>
      </w:pPr>
    </w:p>
    <w:p w14:paraId="328B17AC"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4.2. Środki transportu do wykonania robót</w:t>
      </w:r>
    </w:p>
    <w:p w14:paraId="1D17F2DC"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lastRenderedPageBreak/>
        <w:tab/>
        <w:t>Do wykonania robót Wykonawca zapewni dowolne środki transportowe (np. samochody skrzyniowe, samochody samowyładowcze lub ciągniki z przyczepami). Preferuje się stosowanie środków transportowych samowyładowczych.</w:t>
      </w:r>
    </w:p>
    <w:p w14:paraId="3ACC9F70" w14:textId="4FCE5840" w:rsidR="00FF5E76" w:rsidRPr="00FF5E76" w:rsidRDefault="00FF5E76" w:rsidP="00FF5E76">
      <w:pPr>
        <w:rPr>
          <w:rFonts w:ascii="Times New Roman" w:hAnsi="Times New Roman" w:cs="Times New Roman"/>
          <w:b/>
          <w:sz w:val="24"/>
          <w:szCs w:val="24"/>
        </w:rPr>
      </w:pPr>
      <w:bookmarkStart w:id="14" w:name="_Toc485450214"/>
      <w:bookmarkStart w:id="15" w:name="_Toc490288492"/>
      <w:bookmarkStart w:id="16" w:name="_Toc490449786"/>
      <w:bookmarkStart w:id="17" w:name="_Toc490624166"/>
      <w:r w:rsidRPr="00FF5E76">
        <w:rPr>
          <w:rFonts w:ascii="Times New Roman" w:hAnsi="Times New Roman" w:cs="Times New Roman"/>
          <w:b/>
          <w:sz w:val="24"/>
          <w:szCs w:val="24"/>
        </w:rPr>
        <w:t xml:space="preserve">5. </w:t>
      </w:r>
      <w:r>
        <w:rPr>
          <w:rFonts w:ascii="Times New Roman" w:hAnsi="Times New Roman" w:cs="Times New Roman"/>
          <w:b/>
          <w:sz w:val="24"/>
          <w:szCs w:val="24"/>
        </w:rPr>
        <w:t>W</w:t>
      </w:r>
      <w:r w:rsidRPr="00FF5E76">
        <w:rPr>
          <w:rFonts w:ascii="Times New Roman" w:hAnsi="Times New Roman" w:cs="Times New Roman"/>
          <w:b/>
          <w:sz w:val="24"/>
          <w:szCs w:val="24"/>
        </w:rPr>
        <w:t>ykonanie robót</w:t>
      </w:r>
      <w:bookmarkEnd w:id="14"/>
      <w:bookmarkEnd w:id="15"/>
      <w:bookmarkEnd w:id="16"/>
      <w:bookmarkEnd w:id="17"/>
    </w:p>
    <w:p w14:paraId="570D6A65"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5.1. Ogólne zasady wykonania robót</w:t>
      </w:r>
    </w:p>
    <w:p w14:paraId="38B7954F"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Ogólne zasady wykonania robót podano w OST D-M-00.00.00 „Wymagania ogólne” pkt 5.</w:t>
      </w:r>
    </w:p>
    <w:p w14:paraId="75E7D1C3"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5.2. Założenia ogólne</w:t>
      </w:r>
    </w:p>
    <w:p w14:paraId="59670C6A"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Pobocza stanowią boczne oparcie dla nawierzchni i powinny zapewniać szybkie odprowadzenie wody z jezdni i poboczy. Wewnętrzna krawędź pobocza i zewnętrzna krawędź jezdni powinny stanowić jedną linię, a spadek poprzeczny poboczy gruntowych powinien być większy od spadku poprzecznego jezdni, np. o 2%. Pochylenie podłużne poboczy powinno być zgodne z pochyleniem podłużnym jezdni.</w:t>
      </w:r>
    </w:p>
    <w:p w14:paraId="615431F8"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Pobocze źle utrzymane, nierówne, z dużą ilością kolein i zaniżeń, ze znacznymi ubytkami gruntu, stanowi nie tylko zagrożenie dla ruchu, lecz również przyśpiesza uszkodzenia podbudowy i nawierzchni, a przez brak właściwego odpływu wody - nawadnia korpus drogowy i obniża nośność konstrukcji.</w:t>
      </w:r>
    </w:p>
    <w:p w14:paraId="760DF3C5"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W wielu przypadkach pobocza są wykorzystywane w sytuacjach awaryjnych przez pojazdy, w związku z czym ich nośność powinna umożliwiać przenoszenie obciążeń na nie wywieranych.</w:t>
      </w:r>
    </w:p>
    <w:p w14:paraId="104DD65D"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Remont poboczy staje się konieczny już przy ich zaniżeniu większym od 5 cm            i zawyżeniu powodującym zatrzymanie wody na jezdni.</w:t>
      </w:r>
    </w:p>
    <w:p w14:paraId="152562C3"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5.3. Przygotowanie poboczy do naprawy</w:t>
      </w:r>
    </w:p>
    <w:p w14:paraId="564A966D"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Przed przystąpieniem do robót Wykonawca jest zobowiązany, w zależności od charakteru wykonywanej naprawy, dokonać:</w:t>
      </w:r>
    </w:p>
    <w:p w14:paraId="0679A74C" w14:textId="77777777" w:rsidR="00FF5E76" w:rsidRPr="00FF5E76" w:rsidRDefault="00FF5E76" w:rsidP="00FF5E76">
      <w:pPr>
        <w:numPr>
          <w:ilvl w:val="0"/>
          <w:numId w:val="11"/>
        </w:numPr>
        <w:rPr>
          <w:rFonts w:ascii="Times New Roman" w:hAnsi="Times New Roman" w:cs="Times New Roman"/>
          <w:sz w:val="24"/>
          <w:szCs w:val="24"/>
        </w:rPr>
      </w:pPr>
      <w:r w:rsidRPr="00FF5E76">
        <w:rPr>
          <w:rFonts w:ascii="Times New Roman" w:hAnsi="Times New Roman" w:cs="Times New Roman"/>
          <w:sz w:val="24"/>
          <w:szCs w:val="24"/>
        </w:rPr>
        <w:t>usunięcia z naprawianych powierzchni zanieczyszczeń takich jak gałęzie, kamienie, liście z drzew, skoszenia trawy i chwastów, a w razie wykonywania ścinki poboczy, również pachołków bądź innych elementów, których usunięcie czasowe nie spowoduje zagrożenia dla bezpieczeństwa ruchu drogowego. Usunięcie pachołków, słupków kilometrowych, hektometrowych itp. lub innych elementów Wykonawca uzgodni z Inżynierem,</w:t>
      </w:r>
    </w:p>
    <w:p w14:paraId="0413BDF8" w14:textId="77777777" w:rsidR="00FF5E76" w:rsidRPr="00FF5E76" w:rsidRDefault="00FF5E76" w:rsidP="00FF5E76">
      <w:pPr>
        <w:numPr>
          <w:ilvl w:val="0"/>
          <w:numId w:val="11"/>
        </w:numPr>
        <w:rPr>
          <w:rFonts w:ascii="Times New Roman" w:hAnsi="Times New Roman" w:cs="Times New Roman"/>
          <w:sz w:val="24"/>
          <w:szCs w:val="24"/>
        </w:rPr>
      </w:pPr>
      <w:r w:rsidRPr="00FF5E76">
        <w:rPr>
          <w:rFonts w:ascii="Times New Roman" w:hAnsi="Times New Roman" w:cs="Times New Roman"/>
          <w:sz w:val="24"/>
          <w:szCs w:val="24"/>
        </w:rPr>
        <w:t>wyznaczenia szerokości pobocza i ustalenia krawędzi korony drogi,</w:t>
      </w:r>
    </w:p>
    <w:p w14:paraId="046B7EC8" w14:textId="77777777" w:rsidR="00FF5E76" w:rsidRPr="00FF5E76" w:rsidRDefault="00FF5E76" w:rsidP="00FF5E76">
      <w:pPr>
        <w:numPr>
          <w:ilvl w:val="0"/>
          <w:numId w:val="11"/>
        </w:numPr>
        <w:rPr>
          <w:rFonts w:ascii="Times New Roman" w:hAnsi="Times New Roman" w:cs="Times New Roman"/>
          <w:sz w:val="24"/>
          <w:szCs w:val="24"/>
        </w:rPr>
      </w:pPr>
      <w:r w:rsidRPr="00FF5E76">
        <w:rPr>
          <w:rFonts w:ascii="Times New Roman" w:hAnsi="Times New Roman" w:cs="Times New Roman"/>
          <w:sz w:val="24"/>
          <w:szCs w:val="24"/>
        </w:rPr>
        <w:t>odwodnienia naprawianych powierzchni w przypadku stwierdzenia zastoisk wodnych, przez wykopanie rowków odwadniających,</w:t>
      </w:r>
    </w:p>
    <w:p w14:paraId="2AEB6E2A" w14:textId="77777777" w:rsidR="00FF5E76" w:rsidRPr="00FF5E76" w:rsidRDefault="00FF5E76" w:rsidP="00FF5E76">
      <w:pPr>
        <w:numPr>
          <w:ilvl w:val="0"/>
          <w:numId w:val="11"/>
        </w:numPr>
        <w:rPr>
          <w:rFonts w:ascii="Times New Roman" w:hAnsi="Times New Roman" w:cs="Times New Roman"/>
          <w:sz w:val="24"/>
          <w:szCs w:val="24"/>
        </w:rPr>
      </w:pPr>
      <w:r w:rsidRPr="00FF5E76">
        <w:rPr>
          <w:rFonts w:ascii="Times New Roman" w:hAnsi="Times New Roman" w:cs="Times New Roman"/>
          <w:sz w:val="24"/>
          <w:szCs w:val="24"/>
        </w:rPr>
        <w:t>spulchnienia powierzchni lub rozdrobnienia darniny w przypadkach niezbędnych przy wykonywaniu ścinki poboczy,</w:t>
      </w:r>
    </w:p>
    <w:p w14:paraId="24EDFAE1" w14:textId="77777777" w:rsidR="00FF5E76" w:rsidRPr="00FF5E76" w:rsidRDefault="00FF5E76" w:rsidP="00FF5E76">
      <w:pPr>
        <w:numPr>
          <w:ilvl w:val="0"/>
          <w:numId w:val="11"/>
        </w:numPr>
        <w:rPr>
          <w:rFonts w:ascii="Times New Roman" w:hAnsi="Times New Roman" w:cs="Times New Roman"/>
          <w:sz w:val="24"/>
          <w:szCs w:val="24"/>
        </w:rPr>
      </w:pPr>
      <w:r w:rsidRPr="00FF5E76">
        <w:rPr>
          <w:rFonts w:ascii="Times New Roman" w:hAnsi="Times New Roman" w:cs="Times New Roman"/>
          <w:sz w:val="24"/>
          <w:szCs w:val="24"/>
        </w:rPr>
        <w:t>spulchnienia powierzchni poboczy na głębokość od 2 do 3 cm przy ich uzupełnianiu dla dobrego związania warstw,</w:t>
      </w:r>
    </w:p>
    <w:p w14:paraId="58BE575D" w14:textId="77777777" w:rsidR="00FF5E76" w:rsidRPr="00FF5E76" w:rsidRDefault="00FF5E76" w:rsidP="00FF5E76">
      <w:pPr>
        <w:numPr>
          <w:ilvl w:val="0"/>
          <w:numId w:val="11"/>
        </w:numPr>
        <w:rPr>
          <w:rFonts w:ascii="Times New Roman" w:hAnsi="Times New Roman" w:cs="Times New Roman"/>
          <w:sz w:val="24"/>
          <w:szCs w:val="24"/>
        </w:rPr>
      </w:pPr>
      <w:r w:rsidRPr="00FF5E76">
        <w:rPr>
          <w:rFonts w:ascii="Times New Roman" w:hAnsi="Times New Roman" w:cs="Times New Roman"/>
          <w:sz w:val="24"/>
          <w:szCs w:val="24"/>
        </w:rPr>
        <w:lastRenderedPageBreak/>
        <w:t>spryskania wodą powierzchni naprawianych w przypadku nadmiernie suchego gruntu poboczy.</w:t>
      </w:r>
    </w:p>
    <w:p w14:paraId="192A6B85"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5.4. Naprawa lokalnie uszkodzonych poboczy</w:t>
      </w:r>
    </w:p>
    <w:p w14:paraId="0B6B93E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W celu dokonania naprawy lokalnych zagłębień w poboczach Wykonawca wykona następujące roboty:</w:t>
      </w:r>
    </w:p>
    <w:p w14:paraId="3915BC71" w14:textId="77777777" w:rsidR="00FF5E76" w:rsidRPr="00FF5E76" w:rsidRDefault="00FF5E76" w:rsidP="00FF5E76">
      <w:pPr>
        <w:numPr>
          <w:ilvl w:val="0"/>
          <w:numId w:val="12"/>
        </w:numPr>
        <w:rPr>
          <w:rFonts w:ascii="Times New Roman" w:hAnsi="Times New Roman" w:cs="Times New Roman"/>
          <w:sz w:val="24"/>
          <w:szCs w:val="24"/>
        </w:rPr>
      </w:pPr>
      <w:r w:rsidRPr="00FF5E76">
        <w:rPr>
          <w:rFonts w:ascii="Times New Roman" w:hAnsi="Times New Roman" w:cs="Times New Roman"/>
          <w:sz w:val="24"/>
          <w:szCs w:val="24"/>
        </w:rPr>
        <w:t>dokona spulchnienia gruntu w miejscu naprawy na głębokość od 2 do 3 cm (w obrysie uszkodzenia) oraz (w przypadku konieczności) dokona nawilgocenia gruntu podłoża,</w:t>
      </w:r>
    </w:p>
    <w:p w14:paraId="11EB0562" w14:textId="77777777" w:rsidR="00FF5E76" w:rsidRPr="00FF5E76" w:rsidRDefault="00FF5E76" w:rsidP="00FF5E76">
      <w:pPr>
        <w:numPr>
          <w:ilvl w:val="0"/>
          <w:numId w:val="12"/>
        </w:numPr>
        <w:rPr>
          <w:rFonts w:ascii="Times New Roman" w:hAnsi="Times New Roman" w:cs="Times New Roman"/>
          <w:sz w:val="24"/>
          <w:szCs w:val="24"/>
        </w:rPr>
      </w:pPr>
      <w:r w:rsidRPr="00FF5E76">
        <w:rPr>
          <w:rFonts w:ascii="Times New Roman" w:hAnsi="Times New Roman" w:cs="Times New Roman"/>
          <w:sz w:val="24"/>
          <w:szCs w:val="24"/>
        </w:rPr>
        <w:t>wypełni ubytek gruntem oraz dokona jego zagęszczenia wibratorami płytowymi aż do uzyskania wskaźnika zagęszczenia określonego wg BN-77/8931-12 [6], co najmniej 0,98 maksymalnego zagęszczenia wg normalnej próby Proctora, zgodnie z PN-B-04481 [1],</w:t>
      </w:r>
    </w:p>
    <w:p w14:paraId="003A3B46" w14:textId="77777777" w:rsidR="00FF5E76" w:rsidRPr="00FF5E76" w:rsidRDefault="00FF5E76" w:rsidP="00FF5E76">
      <w:pPr>
        <w:numPr>
          <w:ilvl w:val="0"/>
          <w:numId w:val="12"/>
        </w:numPr>
        <w:rPr>
          <w:rFonts w:ascii="Times New Roman" w:hAnsi="Times New Roman" w:cs="Times New Roman"/>
          <w:sz w:val="24"/>
          <w:szCs w:val="24"/>
        </w:rPr>
      </w:pPr>
      <w:r w:rsidRPr="00FF5E76">
        <w:rPr>
          <w:rFonts w:ascii="Times New Roman" w:hAnsi="Times New Roman" w:cs="Times New Roman"/>
          <w:sz w:val="24"/>
          <w:szCs w:val="24"/>
        </w:rPr>
        <w:t>wyrówna naprawiane miejsce do spadku poprzecznego zgodnego ze spadkiem istniejącego pobocza.</w:t>
      </w:r>
    </w:p>
    <w:p w14:paraId="5500A885"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Do napraw poboczy Wykonawca powinien użyć jeden z materiałów wyszczególnionych w pkcie 2. Użyty grunt do naprawy powinien posiadać wilgotność optymalną i być zaakceptowany przez Inżyniera.</w:t>
      </w:r>
    </w:p>
    <w:p w14:paraId="154DEA16"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5.5. Wykonanie uzupełnienia i profilowania poboczy</w:t>
      </w:r>
    </w:p>
    <w:p w14:paraId="691A01D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Przed przystąpieniem do wykonania uzupełnienia poboczy Wykonawca wykona czynności określone w pkcie 5.3 niniejszej specyfikacji.</w:t>
      </w:r>
    </w:p>
    <w:p w14:paraId="25C5899F"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Na uzupełnienie poboczy Wykonawca użyje gruntów opisanych w pktach od 2.2.2 do 2.2.5, uzgodnionych z Inżynierem. Używany grunt powinien posiadać optymalną wilgotność.</w:t>
      </w:r>
    </w:p>
    <w:p w14:paraId="263D5D8C"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Grunt powinien być równomiernie rozkładany na całej szerokości pobocza oraz profilowany do wymaganego spadku poprzecznego za pomocą równiarek.</w:t>
      </w:r>
    </w:p>
    <w:p w14:paraId="1B3A93F6"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Zagęszczenie gruntu o optymalnej wilgotności powinno być dokonywane za pomocą walców, których rodzaj Wykonawca uzgodni z Inżynierem. Zagęszczenie gruntu należy prowadzić od krawędzi poboczy w kierunku krawędzi nawierzchni. Zagęszczona powierzchnia powinna być równa, posiadać jednakowy spadek poprzeczny zgodny ze spadkiem założonym oraz nie posiadać śladów kół od walców. Wskaźnik zagęszczenia uzupełnionych poboczy powinien być zgodny ze wskaźnikiem zagęszczenia podanym w pkcie 5.4.</w:t>
      </w:r>
    </w:p>
    <w:p w14:paraId="314AFE83"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5.6. Ścinanie zawyżonych poboczy</w:t>
      </w:r>
    </w:p>
    <w:p w14:paraId="2512BFA2"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Przed przystąpieniem do ścinania poboczy Wykonawca wykona czynności określone w pkcie 5.3 niniejszej specyfikacji.</w:t>
      </w:r>
    </w:p>
    <w:p w14:paraId="5B4E6DBC"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Wykonawca wykona ścinanie poboczy za pomocą ścinarek poboczy lub równiarek (można użyć też innych maszyn, jak np. koparek frezujących, ładowarek, spycharek).</w:t>
      </w:r>
    </w:p>
    <w:p w14:paraId="6AD4B4DD"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Samojezdną ścinarką poboczy pracę należy wykonać następująco:</w:t>
      </w:r>
    </w:p>
    <w:p w14:paraId="7D2B6DE1"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maszyna kompleksowo ścina pobocze (frezem ślimakowym), ładuje urobek przenośnikiem taśmowym na środek transportowy i oczyszcza nawierzchnię szczotką, zgarniając resztki gruntu na pobocze,</w:t>
      </w:r>
    </w:p>
    <w:p w14:paraId="75D5F5B6" w14:textId="5AA92ADD" w:rsidR="00FF5E76" w:rsidRPr="00FF5E76" w:rsidRDefault="00FF5E76" w:rsidP="00D47C6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lastRenderedPageBreak/>
        <w:t>następuje zagęszczenie gruntu walcem statycznym gładkim, ogumionym lub wibracyjnym.</w:t>
      </w:r>
    </w:p>
    <w:p w14:paraId="2C4032F1"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W pobliżu przeszkód na poboczu, utrudniających pracę sprzętu mechanicznego (np. przy drzewach, znakach drogowych, barierach ochronnych, nie usuniętych na czas robót pachołkach itp.), wszystkie drobne roboty, związane ze ścinaniem poboczy - należy wykonać ręcznie.</w:t>
      </w:r>
    </w:p>
    <w:p w14:paraId="35EF09B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Przy niewielkim zakresie robót, pobocze można ścinać ręcznie, stosując do tego celu oskardy i łopaty. W odstępach od 5 do 10 m należy wykonać bruzdy, nadając im ustalony spadek poprzeczny przy pomocy odpowiedniego szablonu i libelli. Odcinki pobocza między bruzdami można ścinać „na oko”. Krawędź pobocza i skarpy należy przyciąć do linii według wyciągniętego sznura.</w:t>
      </w:r>
    </w:p>
    <w:p w14:paraId="2E5473DE"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Przy ścinaniu poboczy należy sprawdzać ich równość oraz wykonać ich zagęszczenie do wymaganego wskaźnika, określonego w pkcie 5.4. Przy zagęszczeniu grunt powinien mieć wilgotność optymalną.</w:t>
      </w:r>
    </w:p>
    <w:p w14:paraId="78EDE2F0"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Nadmiar gruntu uzyskanego ze ścinania poboczy należy odwieźć poza torowisko drogowe bądź wykorzystać do pokrycia ubytków w skarpach lub poboczach (np. na większych spadkach). Jeśli materiał uzyskany ze ścięcia poboczy może zawierać środki chemiczne do zwalczania śliskości zimowej oraz zanieczyszczone pyły z jezdni, wówczas powinien być natychmiast umieszczony:</w:t>
      </w:r>
    </w:p>
    <w:p w14:paraId="5928027A"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na wysypisku publicznym lub składowisku własnym, urządzonym zgodnie z warunkami wydanymi przez właściwe władze ochrony środowiska,</w:t>
      </w:r>
    </w:p>
    <w:p w14:paraId="6EF3F4BC"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w zagłębieniach terenu położonych na nieużytkach albo w innych miejscach, gdzie powoli może tracić swoje szkodliwe właściwości w sposób nie zagrażający środowisku.</w:t>
      </w:r>
    </w:p>
    <w:p w14:paraId="2000B826"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Sposób i miejsce wywozu materiału, uzyskanego ze ścinania poboczy, powinny być określone w SST i zaakceptowane przez Inżyniera.</w:t>
      </w:r>
    </w:p>
    <w:p w14:paraId="56A55A5A"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5.7. Wykonanie rowków odpływowych w zawyżonych poboczach</w:t>
      </w:r>
    </w:p>
    <w:p w14:paraId="208812A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Rowki odpływowe (odwadniające) w poprzek pobocza wykonuje się, gdy:</w:t>
      </w:r>
    </w:p>
    <w:p w14:paraId="1F404FFC"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istnieje doraźna potrzeba usunięcia lokalnych zastoisk wodnych na jezdni lub zapobieżenia spływania wody wzdłuż drogi, na pograniczu jezdni i zawyżonego pobocza,</w:t>
      </w:r>
    </w:p>
    <w:p w14:paraId="01493CAF"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nie przewiduje się w najbliższym czasie całkowitej ścinki zawyżonego pobocza.</w:t>
      </w:r>
    </w:p>
    <w:p w14:paraId="71A9B9A6"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Rowki odpływowe wykonuje się w miejscach pozwalających na szybki i skuteczny spływ wody z jezdni, prostopadle lub ukośnie do krawędzi nawierzchni. Przekrój poprzeczny rowka powinien być trójkątny lub trapezowy. Dno rowka powinno mieć pochylenie podłużne, co najmniej 1%. Rowki wykonuje się ręcznie przy użyciu oskardów i łopat.</w:t>
      </w:r>
    </w:p>
    <w:p w14:paraId="1743F85D"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5.8. Roboty wykończeniowe</w:t>
      </w:r>
    </w:p>
    <w:p w14:paraId="259BCBBF"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Po wykonaniu robót określonych w pktach 5.4, 5.5 i 5.6 Wykonawca jest zobowiązany do usunięcia gruntu ze skarp, jeśli w trakcie robót grunt został tam przesunięty oraz do ustawienia, usuniętych na czas robót, pachołków lub innych elementów znajdujących się na poboczu przed rozpoczęciem robót.</w:t>
      </w:r>
    </w:p>
    <w:p w14:paraId="64E42E8F" w14:textId="39260FBE" w:rsidR="00FF5E76" w:rsidRPr="00FF5E76" w:rsidRDefault="00FF5E76" w:rsidP="00FF5E76">
      <w:pPr>
        <w:rPr>
          <w:rFonts w:ascii="Times New Roman" w:hAnsi="Times New Roman" w:cs="Times New Roman"/>
          <w:b/>
          <w:sz w:val="24"/>
          <w:szCs w:val="24"/>
        </w:rPr>
      </w:pPr>
      <w:bookmarkStart w:id="18" w:name="_Toc485450215"/>
      <w:bookmarkStart w:id="19" w:name="_Toc490288493"/>
      <w:bookmarkStart w:id="20" w:name="_Toc490449787"/>
      <w:bookmarkStart w:id="21" w:name="_Toc490461082"/>
      <w:bookmarkStart w:id="22" w:name="_Toc490624167"/>
      <w:r w:rsidRPr="00FF5E76">
        <w:rPr>
          <w:rFonts w:ascii="Times New Roman" w:hAnsi="Times New Roman" w:cs="Times New Roman"/>
          <w:b/>
          <w:sz w:val="24"/>
          <w:szCs w:val="24"/>
        </w:rPr>
        <w:lastRenderedPageBreak/>
        <w:t xml:space="preserve">6. </w:t>
      </w:r>
      <w:r w:rsidR="00D47C66">
        <w:rPr>
          <w:rFonts w:ascii="Times New Roman" w:hAnsi="Times New Roman" w:cs="Times New Roman"/>
          <w:b/>
          <w:sz w:val="24"/>
          <w:szCs w:val="24"/>
        </w:rPr>
        <w:t>K</w:t>
      </w:r>
      <w:r w:rsidRPr="00FF5E76">
        <w:rPr>
          <w:rFonts w:ascii="Times New Roman" w:hAnsi="Times New Roman" w:cs="Times New Roman"/>
          <w:b/>
          <w:sz w:val="24"/>
          <w:szCs w:val="24"/>
        </w:rPr>
        <w:t>ontrola jakości robót</w:t>
      </w:r>
      <w:bookmarkEnd w:id="18"/>
      <w:bookmarkEnd w:id="19"/>
      <w:bookmarkEnd w:id="20"/>
      <w:bookmarkEnd w:id="21"/>
      <w:bookmarkEnd w:id="22"/>
    </w:p>
    <w:p w14:paraId="20DB0B6D"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6.1. Ogólne zasady kontroli jakości robót</w:t>
      </w:r>
    </w:p>
    <w:p w14:paraId="0E522885"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Ogólne zasady kontroli jakości robót podano w OST D-M-00.00.00 „Wymagania ogólne” pkt 6.</w:t>
      </w:r>
    </w:p>
    <w:p w14:paraId="00E93A95"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6.2. Badania przed przystąpieniem do robót</w:t>
      </w:r>
    </w:p>
    <w:p w14:paraId="0E790574"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Przed przystąpieniem do robót Wykonawca jest zobowiązany do przeprowadzenia badań gruntów proponowanych do użycia na uzupełnienia poboczy oraz opracowania składu mieszanki optymalnej i uzyskanie akceptacji Inżyniera.</w:t>
      </w:r>
    </w:p>
    <w:p w14:paraId="53D2E3C5"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6.3. Częstotliwość i zakres badań i pomiarów</w:t>
      </w:r>
    </w:p>
    <w:p w14:paraId="5C78DD7C"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W czasie robót Wykonawca jest zobowiązany do:</w:t>
      </w:r>
    </w:p>
    <w:p w14:paraId="23D5C932"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badania uziarnienia mieszanki optymalnej co najmniej raz dziennie,</w:t>
      </w:r>
    </w:p>
    <w:p w14:paraId="5B945343"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badania wilgotności gruntów i mieszanki optymalnej co najmniej raz dziennie,</w:t>
      </w:r>
    </w:p>
    <w:p w14:paraId="644B11D8"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badania wskaźnika zagęszczenia gruntu co najmniej dwa razy na 1 km uzupełnianych        i ścinanych poboczy,</w:t>
      </w:r>
    </w:p>
    <w:p w14:paraId="2EF889E0"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pomiarów spadków poprzecznych co najmniej dwa razy na 100 m,</w:t>
      </w:r>
    </w:p>
    <w:p w14:paraId="0FCE1A43" w14:textId="77777777" w:rsid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pomiarów równości podłużnej i poprzecznej poboczy co 50 m łatą 4-metrową.</w:t>
      </w:r>
    </w:p>
    <w:p w14:paraId="4309CFB3" w14:textId="0D1AA2AE" w:rsidR="00D47C66" w:rsidRPr="00FF5E76" w:rsidRDefault="00D47C66" w:rsidP="00FF5E76">
      <w:pPr>
        <w:numPr>
          <w:ilvl w:val="0"/>
          <w:numId w:val="6"/>
        </w:numPr>
        <w:rPr>
          <w:rFonts w:ascii="Times New Roman" w:hAnsi="Times New Roman" w:cs="Times New Roman"/>
          <w:sz w:val="24"/>
          <w:szCs w:val="24"/>
        </w:rPr>
      </w:pPr>
      <w:r>
        <w:rPr>
          <w:rFonts w:ascii="Times New Roman" w:hAnsi="Times New Roman" w:cs="Times New Roman"/>
          <w:sz w:val="24"/>
          <w:szCs w:val="24"/>
        </w:rPr>
        <w:t>pomiar szerokości pobocza co 50 m</w:t>
      </w:r>
    </w:p>
    <w:p w14:paraId="70D2458B"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Dopuszcza się następujące tolerancje:</w:t>
      </w:r>
    </w:p>
    <w:p w14:paraId="4DC2D118" w14:textId="523888C4"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 xml:space="preserve">spadków poprzecznych  </w:t>
      </w:r>
      <w:r w:rsidRPr="00FF5E76">
        <w:rPr>
          <w:rFonts w:ascii="Times New Roman" w:hAnsi="Times New Roman" w:cs="Times New Roman"/>
          <w:sz w:val="24"/>
          <w:szCs w:val="24"/>
        </w:rPr>
        <w:sym w:font="Symbol" w:char="F0B1"/>
      </w:r>
      <w:r w:rsidRPr="00FF5E76">
        <w:rPr>
          <w:rFonts w:ascii="Times New Roman" w:hAnsi="Times New Roman" w:cs="Times New Roman"/>
          <w:sz w:val="24"/>
          <w:szCs w:val="24"/>
        </w:rPr>
        <w:t xml:space="preserve"> 1%, przy czym spadek pobocza </w:t>
      </w:r>
      <w:r w:rsidR="00D47C66">
        <w:rPr>
          <w:rFonts w:ascii="Times New Roman" w:hAnsi="Times New Roman" w:cs="Times New Roman"/>
          <w:sz w:val="24"/>
          <w:szCs w:val="24"/>
        </w:rPr>
        <w:t>powinien wynosić 6 %, a na łukach zgodnie z obowiązującymi przepisami</w:t>
      </w:r>
      <w:r w:rsidRPr="00FF5E76">
        <w:rPr>
          <w:rFonts w:ascii="Times New Roman" w:hAnsi="Times New Roman" w:cs="Times New Roman"/>
          <w:sz w:val="24"/>
          <w:szCs w:val="24"/>
        </w:rPr>
        <w:t>,</w:t>
      </w:r>
    </w:p>
    <w:p w14:paraId="45DC5944" w14:textId="77777777" w:rsid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dla pomiarów równości podłużnej i poprzecznej - prześwit maksymalny pod łatą nie może przekroczyć 15 mm.</w:t>
      </w:r>
    </w:p>
    <w:p w14:paraId="035215E4" w14:textId="7B93BC83" w:rsidR="00D47C66" w:rsidRPr="00FF5E76" w:rsidRDefault="00D47C66" w:rsidP="00FF5E76">
      <w:pPr>
        <w:numPr>
          <w:ilvl w:val="0"/>
          <w:numId w:val="6"/>
        </w:numPr>
        <w:rPr>
          <w:rFonts w:ascii="Times New Roman" w:hAnsi="Times New Roman" w:cs="Times New Roman"/>
          <w:sz w:val="24"/>
          <w:szCs w:val="24"/>
        </w:rPr>
      </w:pPr>
      <w:r>
        <w:rPr>
          <w:rFonts w:ascii="Times New Roman" w:hAnsi="Times New Roman" w:cs="Times New Roman"/>
          <w:sz w:val="24"/>
          <w:szCs w:val="24"/>
        </w:rPr>
        <w:t>szerokość pobocza należy ustalić z Inspektorem Nadzoru</w:t>
      </w:r>
    </w:p>
    <w:p w14:paraId="31594D7C" w14:textId="721D44D0" w:rsidR="00FF5E76" w:rsidRPr="00FF5E76" w:rsidRDefault="00FF5E76" w:rsidP="00FF5E76">
      <w:pPr>
        <w:rPr>
          <w:rFonts w:ascii="Times New Roman" w:hAnsi="Times New Roman" w:cs="Times New Roman"/>
          <w:b/>
          <w:sz w:val="24"/>
          <w:szCs w:val="24"/>
        </w:rPr>
      </w:pPr>
      <w:bookmarkStart w:id="23" w:name="_Toc485450216"/>
      <w:bookmarkStart w:id="24" w:name="_Toc490288494"/>
      <w:bookmarkStart w:id="25" w:name="_Toc490449788"/>
      <w:bookmarkStart w:id="26" w:name="_Toc490461083"/>
      <w:bookmarkStart w:id="27" w:name="_Toc490624168"/>
      <w:r w:rsidRPr="00FF5E76">
        <w:rPr>
          <w:rFonts w:ascii="Times New Roman" w:hAnsi="Times New Roman" w:cs="Times New Roman"/>
          <w:b/>
          <w:sz w:val="24"/>
          <w:szCs w:val="24"/>
        </w:rPr>
        <w:t xml:space="preserve">7. </w:t>
      </w:r>
      <w:r>
        <w:rPr>
          <w:rFonts w:ascii="Times New Roman" w:hAnsi="Times New Roman" w:cs="Times New Roman"/>
          <w:b/>
          <w:sz w:val="24"/>
          <w:szCs w:val="24"/>
        </w:rPr>
        <w:t>O</w:t>
      </w:r>
      <w:r w:rsidRPr="00FF5E76">
        <w:rPr>
          <w:rFonts w:ascii="Times New Roman" w:hAnsi="Times New Roman" w:cs="Times New Roman"/>
          <w:b/>
          <w:sz w:val="24"/>
          <w:szCs w:val="24"/>
        </w:rPr>
        <w:t>bmiar robót</w:t>
      </w:r>
      <w:bookmarkEnd w:id="23"/>
      <w:bookmarkEnd w:id="24"/>
      <w:bookmarkEnd w:id="25"/>
      <w:bookmarkEnd w:id="26"/>
      <w:bookmarkEnd w:id="27"/>
    </w:p>
    <w:p w14:paraId="49FE6856"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7.1. Ogólne zasady obmiaru robót</w:t>
      </w:r>
    </w:p>
    <w:p w14:paraId="3FF5805C"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Ogólne zasady obmiaru  robót podano w OST D-M-00.00.00 „Wymagania ogólne” pkt 7.</w:t>
      </w:r>
    </w:p>
    <w:p w14:paraId="484A3073"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7.2. Jednostka obmiarowa</w:t>
      </w:r>
    </w:p>
    <w:p w14:paraId="61317C40"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Jednostką obmiarową wykonanych robót na poboczach jest m</w:t>
      </w:r>
      <w:r w:rsidRPr="00FF5E76">
        <w:rPr>
          <w:rFonts w:ascii="Times New Roman" w:hAnsi="Times New Roman" w:cs="Times New Roman"/>
          <w:sz w:val="24"/>
          <w:szCs w:val="24"/>
          <w:vertAlign w:val="superscript"/>
        </w:rPr>
        <w:t>2</w:t>
      </w:r>
      <w:r w:rsidRPr="00FF5E76">
        <w:rPr>
          <w:rFonts w:ascii="Times New Roman" w:hAnsi="Times New Roman" w:cs="Times New Roman"/>
          <w:sz w:val="24"/>
          <w:szCs w:val="24"/>
        </w:rPr>
        <w:t xml:space="preserve"> (metr kwadratowy) wykonanych robót.</w:t>
      </w:r>
    </w:p>
    <w:p w14:paraId="4278803C" w14:textId="7841F9E5" w:rsidR="00FF5E76" w:rsidRPr="00FF5E76" w:rsidRDefault="00FF5E76" w:rsidP="00FF5E76">
      <w:pPr>
        <w:rPr>
          <w:rFonts w:ascii="Times New Roman" w:hAnsi="Times New Roman" w:cs="Times New Roman"/>
          <w:b/>
          <w:sz w:val="24"/>
          <w:szCs w:val="24"/>
        </w:rPr>
      </w:pPr>
      <w:bookmarkStart w:id="28" w:name="_Toc485450217"/>
      <w:bookmarkStart w:id="29" w:name="_Toc490288495"/>
      <w:bookmarkStart w:id="30" w:name="_Toc490449789"/>
      <w:bookmarkStart w:id="31" w:name="_Toc490461084"/>
      <w:bookmarkStart w:id="32" w:name="_Toc490624169"/>
      <w:r w:rsidRPr="00FF5E76">
        <w:rPr>
          <w:rFonts w:ascii="Times New Roman" w:hAnsi="Times New Roman" w:cs="Times New Roman"/>
          <w:b/>
          <w:sz w:val="24"/>
          <w:szCs w:val="24"/>
        </w:rPr>
        <w:t xml:space="preserve">8. </w:t>
      </w:r>
      <w:r>
        <w:rPr>
          <w:rFonts w:ascii="Times New Roman" w:hAnsi="Times New Roman" w:cs="Times New Roman"/>
          <w:b/>
          <w:sz w:val="24"/>
          <w:szCs w:val="24"/>
        </w:rPr>
        <w:t>O</w:t>
      </w:r>
      <w:r w:rsidRPr="00FF5E76">
        <w:rPr>
          <w:rFonts w:ascii="Times New Roman" w:hAnsi="Times New Roman" w:cs="Times New Roman"/>
          <w:b/>
          <w:sz w:val="24"/>
          <w:szCs w:val="24"/>
        </w:rPr>
        <w:t>dbiór robót</w:t>
      </w:r>
      <w:bookmarkEnd w:id="28"/>
      <w:bookmarkEnd w:id="29"/>
      <w:bookmarkEnd w:id="30"/>
      <w:bookmarkEnd w:id="31"/>
      <w:bookmarkEnd w:id="32"/>
    </w:p>
    <w:p w14:paraId="23DC6799"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Ogólne zasady odbioru  robót podano w OST D-M-00.00.00 „Wymagania ogólne” pkt 8.</w:t>
      </w:r>
    </w:p>
    <w:p w14:paraId="597F1E5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lastRenderedPageBreak/>
        <w:tab/>
        <w:t>Roboty uznaje się za wykonane zgodnie z dokumentacją projektową, SST                   i wymaganiami Inżyniera, jeśli wszystkie pomiary i badania z zachowaniem tolerancji według punktu 6 dały wyniki pozytywne.</w:t>
      </w:r>
    </w:p>
    <w:p w14:paraId="7CBBCD90" w14:textId="6997BAFD" w:rsidR="00FF5E76" w:rsidRPr="00FF5E76" w:rsidRDefault="00FF5E76" w:rsidP="00FF5E76">
      <w:pPr>
        <w:rPr>
          <w:rFonts w:ascii="Times New Roman" w:hAnsi="Times New Roman" w:cs="Times New Roman"/>
          <w:b/>
          <w:sz w:val="24"/>
          <w:szCs w:val="24"/>
        </w:rPr>
      </w:pPr>
      <w:bookmarkStart w:id="33" w:name="_Toc485450218"/>
      <w:bookmarkStart w:id="34" w:name="_Toc490288496"/>
      <w:bookmarkStart w:id="35" w:name="_Toc490449790"/>
      <w:bookmarkStart w:id="36" w:name="_Toc490461085"/>
      <w:bookmarkStart w:id="37" w:name="_Toc490624170"/>
      <w:r w:rsidRPr="00FF5E76">
        <w:rPr>
          <w:rFonts w:ascii="Times New Roman" w:hAnsi="Times New Roman" w:cs="Times New Roman"/>
          <w:b/>
          <w:sz w:val="24"/>
          <w:szCs w:val="24"/>
        </w:rPr>
        <w:t xml:space="preserve">9. </w:t>
      </w:r>
      <w:r>
        <w:rPr>
          <w:rFonts w:ascii="Times New Roman" w:hAnsi="Times New Roman" w:cs="Times New Roman"/>
          <w:b/>
          <w:sz w:val="24"/>
          <w:szCs w:val="24"/>
        </w:rPr>
        <w:t>P</w:t>
      </w:r>
      <w:r w:rsidRPr="00FF5E76">
        <w:rPr>
          <w:rFonts w:ascii="Times New Roman" w:hAnsi="Times New Roman" w:cs="Times New Roman"/>
          <w:b/>
          <w:sz w:val="24"/>
          <w:szCs w:val="24"/>
        </w:rPr>
        <w:t>odstawa płatności</w:t>
      </w:r>
      <w:bookmarkEnd w:id="33"/>
      <w:bookmarkEnd w:id="34"/>
      <w:bookmarkEnd w:id="35"/>
      <w:bookmarkEnd w:id="36"/>
      <w:bookmarkEnd w:id="37"/>
    </w:p>
    <w:p w14:paraId="4BCA04F9"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9.1. Ogólne ustalenia dotyczące podstawy płatności</w:t>
      </w:r>
    </w:p>
    <w:p w14:paraId="202DA172"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Ogólne ustalenia dotyczące podstawy płatności podano w OST D-M-00.00.00 „Wymagania ogólne” pkt 9.</w:t>
      </w:r>
    </w:p>
    <w:p w14:paraId="119755DA"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9.2. Cena jednostki obmiarowej</w:t>
      </w:r>
    </w:p>
    <w:p w14:paraId="75C551F3"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Cena 1 m</w:t>
      </w:r>
      <w:r w:rsidRPr="00FF5E76">
        <w:rPr>
          <w:rFonts w:ascii="Times New Roman" w:hAnsi="Times New Roman" w:cs="Times New Roman"/>
          <w:sz w:val="24"/>
          <w:szCs w:val="24"/>
          <w:vertAlign w:val="superscript"/>
        </w:rPr>
        <w:t>2</w:t>
      </w:r>
      <w:r w:rsidRPr="00FF5E76">
        <w:rPr>
          <w:rFonts w:ascii="Times New Roman" w:hAnsi="Times New Roman" w:cs="Times New Roman"/>
          <w:sz w:val="24"/>
          <w:szCs w:val="24"/>
        </w:rPr>
        <w:t xml:space="preserve"> robót przy naprawie poboczy obejmuje:</w:t>
      </w:r>
    </w:p>
    <w:p w14:paraId="2DE5DB9A" w14:textId="77777777" w:rsidR="00FF5E76" w:rsidRPr="00FF5E76" w:rsidRDefault="00FF5E76" w:rsidP="00FF5E76">
      <w:pPr>
        <w:numPr>
          <w:ilvl w:val="0"/>
          <w:numId w:val="13"/>
        </w:numPr>
        <w:rPr>
          <w:rFonts w:ascii="Times New Roman" w:hAnsi="Times New Roman" w:cs="Times New Roman"/>
          <w:sz w:val="24"/>
          <w:szCs w:val="24"/>
        </w:rPr>
      </w:pPr>
      <w:r w:rsidRPr="00FF5E76">
        <w:rPr>
          <w:rFonts w:ascii="Times New Roman" w:hAnsi="Times New Roman" w:cs="Times New Roman"/>
          <w:sz w:val="24"/>
          <w:szCs w:val="24"/>
        </w:rPr>
        <w:t>przy lokalnych naprawach poboczy:</w:t>
      </w:r>
    </w:p>
    <w:p w14:paraId="66267464"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oznakowanie robót,</w:t>
      </w:r>
    </w:p>
    <w:p w14:paraId="6C4C0B2C"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przygotowanie podłoża,</w:t>
      </w:r>
    </w:p>
    <w:p w14:paraId="3C5597F0"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dowóz gruntu,</w:t>
      </w:r>
    </w:p>
    <w:p w14:paraId="3AB29CE4"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rozłożenie gruntu w miejsce uszkodzenia,</w:t>
      </w:r>
    </w:p>
    <w:p w14:paraId="7139B456"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zagęszczenie gruntu i wyrównanie powierzchni,</w:t>
      </w:r>
    </w:p>
    <w:p w14:paraId="4DC83B75"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przeprowadzenie pomiarów i badań laboratoryjnych,</w:t>
      </w:r>
    </w:p>
    <w:p w14:paraId="159DC6DB"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roboty wykończeniowe,</w:t>
      </w:r>
    </w:p>
    <w:p w14:paraId="60E280BF" w14:textId="77777777" w:rsidR="00FF5E76" w:rsidRPr="00FF5E76" w:rsidRDefault="00FF5E76" w:rsidP="00FF5E76">
      <w:pPr>
        <w:numPr>
          <w:ilvl w:val="0"/>
          <w:numId w:val="13"/>
        </w:numPr>
        <w:rPr>
          <w:rFonts w:ascii="Times New Roman" w:hAnsi="Times New Roman" w:cs="Times New Roman"/>
          <w:sz w:val="24"/>
          <w:szCs w:val="24"/>
        </w:rPr>
      </w:pPr>
      <w:r w:rsidRPr="00FF5E76">
        <w:rPr>
          <w:rFonts w:ascii="Times New Roman" w:hAnsi="Times New Roman" w:cs="Times New Roman"/>
          <w:sz w:val="24"/>
          <w:szCs w:val="24"/>
        </w:rPr>
        <w:t>przy uzupełnianiu poboczy:</w:t>
      </w:r>
    </w:p>
    <w:p w14:paraId="6C71FA46"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oznakowanie robót,</w:t>
      </w:r>
    </w:p>
    <w:p w14:paraId="6B9B35EE"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przygotowanie podłoża,</w:t>
      </w:r>
    </w:p>
    <w:p w14:paraId="3C70D7E2"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dowóz gruntu,</w:t>
      </w:r>
    </w:p>
    <w:p w14:paraId="5016CCA5"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rozścielenie gruntu i jego wyprofilowanie zgodne z dokumentacją,</w:t>
      </w:r>
    </w:p>
    <w:p w14:paraId="15B5C417"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zagęszczenie poboczy,</w:t>
      </w:r>
    </w:p>
    <w:p w14:paraId="79305A47"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przeprowadzenie pomiarów i badań laboratoryjnych,</w:t>
      </w:r>
    </w:p>
    <w:p w14:paraId="4F045146"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roboty wykończeniowe,</w:t>
      </w:r>
    </w:p>
    <w:p w14:paraId="73AED174" w14:textId="77777777" w:rsidR="00FF5E76" w:rsidRPr="00FF5E76" w:rsidRDefault="00FF5E76" w:rsidP="00FF5E76">
      <w:pPr>
        <w:numPr>
          <w:ilvl w:val="0"/>
          <w:numId w:val="13"/>
        </w:numPr>
        <w:rPr>
          <w:rFonts w:ascii="Times New Roman" w:hAnsi="Times New Roman" w:cs="Times New Roman"/>
          <w:sz w:val="24"/>
          <w:szCs w:val="24"/>
        </w:rPr>
      </w:pPr>
      <w:r w:rsidRPr="00FF5E76">
        <w:rPr>
          <w:rFonts w:ascii="Times New Roman" w:hAnsi="Times New Roman" w:cs="Times New Roman"/>
          <w:sz w:val="24"/>
          <w:szCs w:val="24"/>
        </w:rPr>
        <w:t>przy ścinaniu poboczy:</w:t>
      </w:r>
    </w:p>
    <w:p w14:paraId="14A645FB"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oznakowanie robót,</w:t>
      </w:r>
    </w:p>
    <w:p w14:paraId="49D764F5"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przygotowanie podłoża,</w:t>
      </w:r>
    </w:p>
    <w:p w14:paraId="6748DC60"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wykonanie ścinki poboczy,</w:t>
      </w:r>
    </w:p>
    <w:p w14:paraId="713B32C0"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odwóz nadmiaru gruntu,</w:t>
      </w:r>
    </w:p>
    <w:p w14:paraId="0716F4D4"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zagęszczenie poboczy,</w:t>
      </w:r>
    </w:p>
    <w:p w14:paraId="16BB0CE9"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lastRenderedPageBreak/>
        <w:t>przeprowadzenie pomiarów i badań laboratoryjnych,</w:t>
      </w:r>
    </w:p>
    <w:p w14:paraId="20EAFA59"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roboty wykończeniowe.</w:t>
      </w:r>
    </w:p>
    <w:p w14:paraId="7192E88B" w14:textId="3CF8DF22" w:rsidR="00FF5E76" w:rsidRPr="00FF5E76" w:rsidRDefault="00FF5E76" w:rsidP="00FF5E76">
      <w:pPr>
        <w:rPr>
          <w:rFonts w:ascii="Times New Roman" w:hAnsi="Times New Roman" w:cs="Times New Roman"/>
          <w:b/>
          <w:sz w:val="24"/>
          <w:szCs w:val="24"/>
        </w:rPr>
      </w:pPr>
      <w:bookmarkStart w:id="38" w:name="_Toc490624171"/>
      <w:r w:rsidRPr="00FF5E76">
        <w:rPr>
          <w:rFonts w:ascii="Times New Roman" w:hAnsi="Times New Roman" w:cs="Times New Roman"/>
          <w:b/>
          <w:sz w:val="24"/>
          <w:szCs w:val="24"/>
        </w:rPr>
        <w:t xml:space="preserve">10. </w:t>
      </w:r>
      <w:r>
        <w:rPr>
          <w:rFonts w:ascii="Times New Roman" w:hAnsi="Times New Roman" w:cs="Times New Roman"/>
          <w:b/>
          <w:sz w:val="24"/>
          <w:szCs w:val="24"/>
        </w:rPr>
        <w:t>P</w:t>
      </w:r>
      <w:r w:rsidRPr="00FF5E76">
        <w:rPr>
          <w:rFonts w:ascii="Times New Roman" w:hAnsi="Times New Roman" w:cs="Times New Roman"/>
          <w:b/>
          <w:sz w:val="24"/>
          <w:szCs w:val="24"/>
        </w:rPr>
        <w:t>rzepisy związane</w:t>
      </w:r>
      <w:bookmarkEnd w:id="38"/>
    </w:p>
    <w:p w14:paraId="2BF00FE3"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Normy</w:t>
      </w:r>
    </w:p>
    <w:tbl>
      <w:tblPr>
        <w:tblW w:w="0" w:type="auto"/>
        <w:tblLayout w:type="fixed"/>
        <w:tblCellMar>
          <w:left w:w="70" w:type="dxa"/>
          <w:right w:w="70" w:type="dxa"/>
        </w:tblCellMar>
        <w:tblLook w:val="04A0" w:firstRow="1" w:lastRow="0" w:firstColumn="1" w:lastColumn="0" w:noHBand="0" w:noVBand="1"/>
      </w:tblPr>
      <w:tblGrid>
        <w:gridCol w:w="496"/>
        <w:gridCol w:w="1701"/>
        <w:gridCol w:w="5313"/>
      </w:tblGrid>
      <w:tr w:rsidR="00FF5E76" w:rsidRPr="00FF5E76" w14:paraId="6557E5BC" w14:textId="77777777" w:rsidTr="00FF5E76">
        <w:tc>
          <w:tcPr>
            <w:tcW w:w="496" w:type="dxa"/>
            <w:hideMark/>
          </w:tcPr>
          <w:p w14:paraId="339E46D1"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1.</w:t>
            </w:r>
          </w:p>
        </w:tc>
        <w:tc>
          <w:tcPr>
            <w:tcW w:w="1701" w:type="dxa"/>
            <w:hideMark/>
          </w:tcPr>
          <w:p w14:paraId="5A0F811D"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PN-B-04481:1998</w:t>
            </w:r>
          </w:p>
        </w:tc>
        <w:tc>
          <w:tcPr>
            <w:tcW w:w="5313" w:type="dxa"/>
            <w:hideMark/>
          </w:tcPr>
          <w:p w14:paraId="1FD9106D"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Grunty budowlane. Badania próbek gruntu</w:t>
            </w:r>
          </w:p>
        </w:tc>
      </w:tr>
      <w:tr w:rsidR="00FF5E76" w:rsidRPr="00FF5E76" w14:paraId="09771951" w14:textId="77777777" w:rsidTr="00FF5E76">
        <w:tc>
          <w:tcPr>
            <w:tcW w:w="496" w:type="dxa"/>
            <w:hideMark/>
          </w:tcPr>
          <w:p w14:paraId="781549B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2.</w:t>
            </w:r>
          </w:p>
        </w:tc>
        <w:tc>
          <w:tcPr>
            <w:tcW w:w="1701" w:type="dxa"/>
            <w:hideMark/>
          </w:tcPr>
          <w:p w14:paraId="63B9EB50"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PN-B-11111:1996</w:t>
            </w:r>
          </w:p>
        </w:tc>
        <w:tc>
          <w:tcPr>
            <w:tcW w:w="5313" w:type="dxa"/>
            <w:hideMark/>
          </w:tcPr>
          <w:p w14:paraId="6E854363"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Kruszywa mineralne. Kruszywa naturalne do nawierzchni drogowych; Żwir i mieszanka</w:t>
            </w:r>
          </w:p>
        </w:tc>
      </w:tr>
      <w:tr w:rsidR="00FF5E76" w:rsidRPr="00FF5E76" w14:paraId="3AC62B6D" w14:textId="77777777" w:rsidTr="00FF5E76">
        <w:tc>
          <w:tcPr>
            <w:tcW w:w="496" w:type="dxa"/>
            <w:hideMark/>
          </w:tcPr>
          <w:p w14:paraId="3912DEB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3.</w:t>
            </w:r>
          </w:p>
        </w:tc>
        <w:tc>
          <w:tcPr>
            <w:tcW w:w="1701" w:type="dxa"/>
            <w:hideMark/>
          </w:tcPr>
          <w:p w14:paraId="23F6E55A"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PN-B-11113:1996</w:t>
            </w:r>
          </w:p>
        </w:tc>
        <w:tc>
          <w:tcPr>
            <w:tcW w:w="5313" w:type="dxa"/>
            <w:hideMark/>
          </w:tcPr>
          <w:p w14:paraId="51C9837D"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Kruszywa mineralne. Kruszywa naturalne do nawierzchni drogowych; Piasek</w:t>
            </w:r>
          </w:p>
        </w:tc>
      </w:tr>
      <w:tr w:rsidR="00FF5E76" w:rsidRPr="00FF5E76" w14:paraId="3702EDE4" w14:textId="77777777" w:rsidTr="00FF5E76">
        <w:tc>
          <w:tcPr>
            <w:tcW w:w="496" w:type="dxa"/>
            <w:hideMark/>
          </w:tcPr>
          <w:p w14:paraId="5F7CC658"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4.</w:t>
            </w:r>
          </w:p>
        </w:tc>
        <w:tc>
          <w:tcPr>
            <w:tcW w:w="1701" w:type="dxa"/>
            <w:hideMark/>
          </w:tcPr>
          <w:p w14:paraId="50D1FE53"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PN-B-23004:1988</w:t>
            </w:r>
          </w:p>
        </w:tc>
        <w:tc>
          <w:tcPr>
            <w:tcW w:w="5313" w:type="dxa"/>
            <w:hideMark/>
          </w:tcPr>
          <w:p w14:paraId="2316A69F"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Kruszywa mineralne. Kruszywa sztuczne. Kruszywa z żużla wielkopiecowego kawałkowego</w:t>
            </w:r>
          </w:p>
        </w:tc>
      </w:tr>
      <w:tr w:rsidR="00FF5E76" w:rsidRPr="00FF5E76" w14:paraId="3044B8E6" w14:textId="77777777" w:rsidTr="00FF5E76">
        <w:tc>
          <w:tcPr>
            <w:tcW w:w="496" w:type="dxa"/>
            <w:hideMark/>
          </w:tcPr>
          <w:p w14:paraId="066D0C4A"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5.</w:t>
            </w:r>
          </w:p>
        </w:tc>
        <w:tc>
          <w:tcPr>
            <w:tcW w:w="1701" w:type="dxa"/>
            <w:hideMark/>
          </w:tcPr>
          <w:p w14:paraId="207D18CC"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PN-B-32250:1988</w:t>
            </w:r>
          </w:p>
        </w:tc>
        <w:tc>
          <w:tcPr>
            <w:tcW w:w="5313" w:type="dxa"/>
            <w:hideMark/>
          </w:tcPr>
          <w:p w14:paraId="7A2D2080"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Materiały budowlane. Woda do betonów i zapraw</w:t>
            </w:r>
          </w:p>
        </w:tc>
      </w:tr>
      <w:tr w:rsidR="00FF5E76" w:rsidRPr="00FF5E76" w14:paraId="3F56AB46" w14:textId="77777777" w:rsidTr="00FF5E76">
        <w:tc>
          <w:tcPr>
            <w:tcW w:w="496" w:type="dxa"/>
            <w:hideMark/>
          </w:tcPr>
          <w:p w14:paraId="577626B2"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6.</w:t>
            </w:r>
          </w:p>
        </w:tc>
        <w:tc>
          <w:tcPr>
            <w:tcW w:w="1701" w:type="dxa"/>
            <w:hideMark/>
          </w:tcPr>
          <w:p w14:paraId="6AB75E04"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BN-77/8931-12</w:t>
            </w:r>
          </w:p>
        </w:tc>
        <w:tc>
          <w:tcPr>
            <w:tcW w:w="5313" w:type="dxa"/>
            <w:hideMark/>
          </w:tcPr>
          <w:p w14:paraId="179EBA1D"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Oznaczanie wskaźnika zagęszczenia gruntu.</w:t>
            </w:r>
          </w:p>
        </w:tc>
      </w:tr>
    </w:tbl>
    <w:p w14:paraId="7AF573DE" w14:textId="77777777" w:rsidR="00FF5E76" w:rsidRPr="00FF5E76" w:rsidRDefault="00FF5E76" w:rsidP="00FF5E76">
      <w:pPr>
        <w:rPr>
          <w:rFonts w:ascii="Times New Roman" w:hAnsi="Times New Roman" w:cs="Times New Roman"/>
          <w:sz w:val="24"/>
          <w:szCs w:val="24"/>
        </w:rPr>
      </w:pPr>
    </w:p>
    <w:p w14:paraId="0DD1EFE6" w14:textId="77777777" w:rsidR="00977BF7" w:rsidRPr="00FF5E76" w:rsidRDefault="00977BF7">
      <w:pPr>
        <w:rPr>
          <w:rFonts w:ascii="Times New Roman" w:hAnsi="Times New Roman" w:cs="Times New Roman"/>
          <w:sz w:val="24"/>
          <w:szCs w:val="24"/>
        </w:rPr>
      </w:pPr>
    </w:p>
    <w:sectPr w:rsidR="00977BF7" w:rsidRPr="00FF5E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4A2260A"/>
    <w:lvl w:ilvl="0">
      <w:numFmt w:val="bullet"/>
      <w:lvlText w:val="*"/>
      <w:lvlJc w:val="left"/>
      <w:pPr>
        <w:ind w:left="0" w:firstLine="0"/>
      </w:pPr>
    </w:lvl>
  </w:abstractNum>
  <w:abstractNum w:abstractNumId="1" w15:restartNumberingAfterBreak="0">
    <w:nsid w:val="016A6802"/>
    <w:multiLevelType w:val="singleLevel"/>
    <w:tmpl w:val="A830BC68"/>
    <w:lvl w:ilvl="0">
      <w:start w:val="3"/>
      <w:numFmt w:val="decimal"/>
      <w:lvlText w:val="2.2.%1. "/>
      <w:legacy w:legacy="1" w:legacySpace="0" w:legacyIndent="283"/>
      <w:lvlJc w:val="left"/>
      <w:pPr>
        <w:ind w:left="283" w:hanging="283"/>
      </w:pPr>
      <w:rPr>
        <w:b/>
        <w:i w:val="0"/>
        <w:sz w:val="20"/>
      </w:rPr>
    </w:lvl>
  </w:abstractNum>
  <w:abstractNum w:abstractNumId="2" w15:restartNumberingAfterBreak="0">
    <w:nsid w:val="05FF32DC"/>
    <w:multiLevelType w:val="singleLevel"/>
    <w:tmpl w:val="A9362056"/>
    <w:lvl w:ilvl="0">
      <w:start w:val="4"/>
      <w:numFmt w:val="decimal"/>
      <w:lvlText w:val="2.2.%1. "/>
      <w:legacy w:legacy="1" w:legacySpace="0" w:legacyIndent="283"/>
      <w:lvlJc w:val="left"/>
      <w:pPr>
        <w:ind w:left="283" w:hanging="283"/>
      </w:pPr>
      <w:rPr>
        <w:b/>
        <w:i w:val="0"/>
        <w:sz w:val="20"/>
      </w:rPr>
    </w:lvl>
  </w:abstractNum>
  <w:abstractNum w:abstractNumId="3" w15:restartNumberingAfterBreak="0">
    <w:nsid w:val="13126013"/>
    <w:multiLevelType w:val="singleLevel"/>
    <w:tmpl w:val="040EFD7C"/>
    <w:lvl w:ilvl="0">
      <w:start w:val="5"/>
      <w:numFmt w:val="decimal"/>
      <w:lvlText w:val="1.4.%1. "/>
      <w:legacy w:legacy="1" w:legacySpace="0" w:legacyIndent="283"/>
      <w:lvlJc w:val="left"/>
      <w:pPr>
        <w:ind w:left="283" w:hanging="283"/>
      </w:pPr>
      <w:rPr>
        <w:b/>
        <w:i w:val="0"/>
        <w:sz w:val="20"/>
      </w:rPr>
    </w:lvl>
  </w:abstractNum>
  <w:abstractNum w:abstractNumId="4" w15:restartNumberingAfterBreak="0">
    <w:nsid w:val="1ECD60AB"/>
    <w:multiLevelType w:val="singleLevel"/>
    <w:tmpl w:val="CCF80330"/>
    <w:lvl w:ilvl="0">
      <w:start w:val="1"/>
      <w:numFmt w:val="lowerLetter"/>
      <w:lvlText w:val="%1)"/>
      <w:legacy w:legacy="1" w:legacySpace="0" w:legacyIndent="283"/>
      <w:lvlJc w:val="left"/>
      <w:pPr>
        <w:ind w:left="283" w:hanging="283"/>
      </w:pPr>
    </w:lvl>
  </w:abstractNum>
  <w:abstractNum w:abstractNumId="5" w15:restartNumberingAfterBreak="0">
    <w:nsid w:val="29850526"/>
    <w:multiLevelType w:val="singleLevel"/>
    <w:tmpl w:val="CCF80330"/>
    <w:lvl w:ilvl="0">
      <w:start w:val="1"/>
      <w:numFmt w:val="lowerLetter"/>
      <w:lvlText w:val="%1)"/>
      <w:legacy w:legacy="1" w:legacySpace="0" w:legacyIndent="283"/>
      <w:lvlJc w:val="left"/>
      <w:pPr>
        <w:ind w:left="283" w:hanging="283"/>
      </w:pPr>
    </w:lvl>
  </w:abstractNum>
  <w:abstractNum w:abstractNumId="6" w15:restartNumberingAfterBreak="0">
    <w:nsid w:val="39B64DAD"/>
    <w:multiLevelType w:val="singleLevel"/>
    <w:tmpl w:val="3536CD12"/>
    <w:lvl w:ilvl="0">
      <w:start w:val="7"/>
      <w:numFmt w:val="decimal"/>
      <w:lvlText w:val="1.4.%1. "/>
      <w:legacy w:legacy="1" w:legacySpace="0" w:legacyIndent="283"/>
      <w:lvlJc w:val="left"/>
      <w:pPr>
        <w:ind w:left="283" w:hanging="283"/>
      </w:pPr>
      <w:rPr>
        <w:b/>
        <w:i w:val="0"/>
        <w:sz w:val="20"/>
      </w:rPr>
    </w:lvl>
  </w:abstractNum>
  <w:abstractNum w:abstractNumId="7" w15:restartNumberingAfterBreak="0">
    <w:nsid w:val="4EEE52EE"/>
    <w:multiLevelType w:val="singleLevel"/>
    <w:tmpl w:val="886CF73C"/>
    <w:lvl w:ilvl="0">
      <w:start w:val="1"/>
      <w:numFmt w:val="decimal"/>
      <w:lvlText w:val="1.4.%1. "/>
      <w:legacy w:legacy="1" w:legacySpace="0" w:legacyIndent="283"/>
      <w:lvlJc w:val="left"/>
      <w:pPr>
        <w:ind w:left="283" w:hanging="283"/>
      </w:pPr>
      <w:rPr>
        <w:b/>
        <w:i w:val="0"/>
        <w:sz w:val="20"/>
      </w:rPr>
    </w:lvl>
  </w:abstractNum>
  <w:abstractNum w:abstractNumId="8" w15:restartNumberingAfterBreak="0">
    <w:nsid w:val="5A6D5D0E"/>
    <w:multiLevelType w:val="singleLevel"/>
    <w:tmpl w:val="6000756A"/>
    <w:lvl w:ilvl="0">
      <w:start w:val="2"/>
      <w:numFmt w:val="decimal"/>
      <w:lvlText w:val="2.2.%1. "/>
      <w:legacy w:legacy="1" w:legacySpace="0" w:legacyIndent="283"/>
      <w:lvlJc w:val="left"/>
      <w:pPr>
        <w:ind w:left="283" w:hanging="283"/>
      </w:pPr>
      <w:rPr>
        <w:b/>
        <w:i w:val="0"/>
        <w:sz w:val="20"/>
      </w:rPr>
    </w:lvl>
  </w:abstractNum>
  <w:abstractNum w:abstractNumId="9" w15:restartNumberingAfterBreak="0">
    <w:nsid w:val="6DC1498E"/>
    <w:multiLevelType w:val="singleLevel"/>
    <w:tmpl w:val="CCF80330"/>
    <w:lvl w:ilvl="0">
      <w:start w:val="1"/>
      <w:numFmt w:val="lowerLetter"/>
      <w:lvlText w:val="%1)"/>
      <w:legacy w:legacy="1" w:legacySpace="0" w:legacyIndent="283"/>
      <w:lvlJc w:val="left"/>
      <w:pPr>
        <w:ind w:left="283" w:hanging="283"/>
      </w:pPr>
    </w:lvl>
  </w:abstractNum>
  <w:abstractNum w:abstractNumId="10" w15:restartNumberingAfterBreak="0">
    <w:nsid w:val="6E8B1F3F"/>
    <w:multiLevelType w:val="singleLevel"/>
    <w:tmpl w:val="D0AE62E4"/>
    <w:lvl w:ilvl="0">
      <w:start w:val="1"/>
      <w:numFmt w:val="decimal"/>
      <w:lvlText w:val="2.2.%1. "/>
      <w:legacy w:legacy="1" w:legacySpace="0" w:legacyIndent="283"/>
      <w:lvlJc w:val="left"/>
      <w:pPr>
        <w:ind w:left="283" w:hanging="283"/>
      </w:pPr>
      <w:rPr>
        <w:b/>
        <w:i w:val="0"/>
        <w:sz w:val="20"/>
      </w:rPr>
    </w:lvl>
  </w:abstractNum>
  <w:abstractNum w:abstractNumId="11" w15:restartNumberingAfterBreak="0">
    <w:nsid w:val="6F392A41"/>
    <w:multiLevelType w:val="singleLevel"/>
    <w:tmpl w:val="76BA615E"/>
    <w:lvl w:ilvl="0">
      <w:start w:val="5"/>
      <w:numFmt w:val="decimal"/>
      <w:lvlText w:val="2.2.%1. "/>
      <w:legacy w:legacy="1" w:legacySpace="0" w:legacyIndent="283"/>
      <w:lvlJc w:val="left"/>
      <w:pPr>
        <w:ind w:left="283" w:hanging="283"/>
      </w:pPr>
      <w:rPr>
        <w:b/>
        <w:i w:val="0"/>
        <w:sz w:val="20"/>
      </w:rPr>
    </w:lvl>
  </w:abstractNum>
  <w:abstractNum w:abstractNumId="12" w15:restartNumberingAfterBreak="0">
    <w:nsid w:val="75297C15"/>
    <w:multiLevelType w:val="singleLevel"/>
    <w:tmpl w:val="CCF80330"/>
    <w:lvl w:ilvl="0">
      <w:start w:val="1"/>
      <w:numFmt w:val="lowerLetter"/>
      <w:lvlText w:val="%1)"/>
      <w:legacy w:legacy="1" w:legacySpace="0" w:legacyIndent="283"/>
      <w:lvlJc w:val="left"/>
      <w:pPr>
        <w:ind w:left="283" w:hanging="283"/>
      </w:pPr>
    </w:lvl>
  </w:abstractNum>
  <w:num w:numId="1" w16cid:durableId="654989517">
    <w:abstractNumId w:val="5"/>
    <w:lvlOverride w:ilvl="0">
      <w:startOverride w:val="1"/>
    </w:lvlOverride>
  </w:num>
  <w:num w:numId="2" w16cid:durableId="702285466">
    <w:abstractNumId w:val="7"/>
    <w:lvlOverride w:ilvl="0">
      <w:startOverride w:val="1"/>
    </w:lvlOverride>
  </w:num>
  <w:num w:numId="3" w16cid:durableId="394623827">
    <w:abstractNumId w:val="3"/>
    <w:lvlOverride w:ilvl="0">
      <w:startOverride w:val="5"/>
    </w:lvlOverride>
  </w:num>
  <w:num w:numId="4" w16cid:durableId="29843642">
    <w:abstractNumId w:val="6"/>
    <w:lvlOverride w:ilvl="0">
      <w:startOverride w:val="7"/>
    </w:lvlOverride>
  </w:num>
  <w:num w:numId="5" w16cid:durableId="71122831">
    <w:abstractNumId w:val="10"/>
    <w:lvlOverride w:ilvl="0">
      <w:startOverride w:val="1"/>
    </w:lvlOverride>
  </w:num>
  <w:num w:numId="6" w16cid:durableId="1850095657">
    <w:abstractNumId w:val="0"/>
    <w:lvlOverride w:ilvl="0">
      <w:lvl w:ilvl="0">
        <w:numFmt w:val="decimal"/>
        <w:lvlText w:val="-"/>
        <w:legacy w:legacy="1" w:legacySpace="0" w:legacyIndent="283"/>
        <w:lvlJc w:val="left"/>
        <w:pPr>
          <w:ind w:left="0" w:firstLine="0"/>
        </w:pPr>
        <w:rPr>
          <w:rFonts w:ascii="Bookman Old Style" w:hAnsi="Bookman Old Style" w:hint="default"/>
          <w:sz w:val="24"/>
        </w:rPr>
      </w:lvl>
    </w:lvlOverride>
  </w:num>
  <w:num w:numId="7" w16cid:durableId="1307733875">
    <w:abstractNumId w:val="8"/>
    <w:lvlOverride w:ilvl="0">
      <w:startOverride w:val="2"/>
    </w:lvlOverride>
  </w:num>
  <w:num w:numId="8" w16cid:durableId="818812852">
    <w:abstractNumId w:val="1"/>
    <w:lvlOverride w:ilvl="0">
      <w:startOverride w:val="3"/>
    </w:lvlOverride>
  </w:num>
  <w:num w:numId="9" w16cid:durableId="1613393145">
    <w:abstractNumId w:val="2"/>
    <w:lvlOverride w:ilvl="0">
      <w:startOverride w:val="4"/>
    </w:lvlOverride>
  </w:num>
  <w:num w:numId="10" w16cid:durableId="1310549835">
    <w:abstractNumId w:val="11"/>
    <w:lvlOverride w:ilvl="0">
      <w:startOverride w:val="5"/>
    </w:lvlOverride>
  </w:num>
  <w:num w:numId="11" w16cid:durableId="1509782882">
    <w:abstractNumId w:val="9"/>
    <w:lvlOverride w:ilvl="0">
      <w:startOverride w:val="1"/>
    </w:lvlOverride>
  </w:num>
  <w:num w:numId="12" w16cid:durableId="1183664705">
    <w:abstractNumId w:val="12"/>
    <w:lvlOverride w:ilvl="0">
      <w:startOverride w:val="1"/>
    </w:lvlOverride>
  </w:num>
  <w:num w:numId="13" w16cid:durableId="424570345">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E76"/>
    <w:rsid w:val="0003590B"/>
    <w:rsid w:val="005534D2"/>
    <w:rsid w:val="0071301C"/>
    <w:rsid w:val="009533E3"/>
    <w:rsid w:val="00977BF7"/>
    <w:rsid w:val="00D47C66"/>
    <w:rsid w:val="00FF5E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4D0BC"/>
  <w15:chartTrackingRefBased/>
  <w15:docId w15:val="{0869E60A-D07C-40C3-A7EB-08120312A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F5E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F5E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F5E7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F5E7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F5E7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F5E7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F5E7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F5E7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F5E7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F5E7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F5E7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F5E7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F5E7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F5E7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F5E7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F5E7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F5E7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F5E76"/>
    <w:rPr>
      <w:rFonts w:eastAsiaTheme="majorEastAsia" w:cstheme="majorBidi"/>
      <w:color w:val="272727" w:themeColor="text1" w:themeTint="D8"/>
    </w:rPr>
  </w:style>
  <w:style w:type="paragraph" w:styleId="Tytu">
    <w:name w:val="Title"/>
    <w:basedOn w:val="Normalny"/>
    <w:next w:val="Normalny"/>
    <w:link w:val="TytuZnak"/>
    <w:uiPriority w:val="10"/>
    <w:qFormat/>
    <w:rsid w:val="00FF5E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F5E7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F5E7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F5E7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F5E76"/>
    <w:pPr>
      <w:spacing w:before="160"/>
      <w:jc w:val="center"/>
    </w:pPr>
    <w:rPr>
      <w:i/>
      <w:iCs/>
      <w:color w:val="404040" w:themeColor="text1" w:themeTint="BF"/>
    </w:rPr>
  </w:style>
  <w:style w:type="character" w:customStyle="1" w:styleId="CytatZnak">
    <w:name w:val="Cytat Znak"/>
    <w:basedOn w:val="Domylnaczcionkaakapitu"/>
    <w:link w:val="Cytat"/>
    <w:uiPriority w:val="29"/>
    <w:rsid w:val="00FF5E76"/>
    <w:rPr>
      <w:i/>
      <w:iCs/>
      <w:color w:val="404040" w:themeColor="text1" w:themeTint="BF"/>
    </w:rPr>
  </w:style>
  <w:style w:type="paragraph" w:styleId="Akapitzlist">
    <w:name w:val="List Paragraph"/>
    <w:basedOn w:val="Normalny"/>
    <w:uiPriority w:val="34"/>
    <w:qFormat/>
    <w:rsid w:val="00FF5E76"/>
    <w:pPr>
      <w:ind w:left="720"/>
      <w:contextualSpacing/>
    </w:pPr>
  </w:style>
  <w:style w:type="character" w:styleId="Wyrnienieintensywne">
    <w:name w:val="Intense Emphasis"/>
    <w:basedOn w:val="Domylnaczcionkaakapitu"/>
    <w:uiPriority w:val="21"/>
    <w:qFormat/>
    <w:rsid w:val="00FF5E76"/>
    <w:rPr>
      <w:i/>
      <w:iCs/>
      <w:color w:val="0F4761" w:themeColor="accent1" w:themeShade="BF"/>
    </w:rPr>
  </w:style>
  <w:style w:type="paragraph" w:styleId="Cytatintensywny">
    <w:name w:val="Intense Quote"/>
    <w:basedOn w:val="Normalny"/>
    <w:next w:val="Normalny"/>
    <w:link w:val="CytatintensywnyZnak"/>
    <w:uiPriority w:val="30"/>
    <w:qFormat/>
    <w:rsid w:val="00FF5E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F5E76"/>
    <w:rPr>
      <w:i/>
      <w:iCs/>
      <w:color w:val="0F4761" w:themeColor="accent1" w:themeShade="BF"/>
    </w:rPr>
  </w:style>
  <w:style w:type="character" w:styleId="Odwoanieintensywne">
    <w:name w:val="Intense Reference"/>
    <w:basedOn w:val="Domylnaczcionkaakapitu"/>
    <w:uiPriority w:val="32"/>
    <w:qFormat/>
    <w:rsid w:val="00FF5E7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4082691">
      <w:bodyDiv w:val="1"/>
      <w:marLeft w:val="0"/>
      <w:marRight w:val="0"/>
      <w:marTop w:val="0"/>
      <w:marBottom w:val="0"/>
      <w:divBdr>
        <w:top w:val="none" w:sz="0" w:space="0" w:color="auto"/>
        <w:left w:val="none" w:sz="0" w:space="0" w:color="auto"/>
        <w:bottom w:val="none" w:sz="0" w:space="0" w:color="auto"/>
        <w:right w:val="none" w:sz="0" w:space="0" w:color="auto"/>
      </w:divBdr>
    </w:div>
    <w:div w:id="173284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12</Pages>
  <Words>2484</Words>
  <Characters>14904</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Bartłomiej Kaczyński</dc:creator>
  <cp:keywords/>
  <dc:description/>
  <cp:lastModifiedBy>MZDW Przemysław Król</cp:lastModifiedBy>
  <cp:revision>2</cp:revision>
  <dcterms:created xsi:type="dcterms:W3CDTF">2024-11-12T08:44:00Z</dcterms:created>
  <dcterms:modified xsi:type="dcterms:W3CDTF">2025-03-14T09:16:00Z</dcterms:modified>
</cp:coreProperties>
</file>