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p w:rsidR="007032DE" w:rsidRPr="009857B3" w:rsidRDefault="00A0744B" w:rsidP="00253CE1">
      <w:pPr>
        <w:tabs>
          <w:tab w:val="left" w:pos="707"/>
        </w:tabs>
        <w:spacing w:before="60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ED73B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4 poz. 1320"/>
            </w:textInput>
          </w:ffData>
        </w:fldChar>
      </w:r>
      <w:r w:rsidR="00ED73B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ED73BA">
        <w:rPr>
          <w:rFonts w:ascii="Calibri" w:hAnsi="Calibri"/>
          <w:b/>
          <w:bCs/>
          <w:iCs/>
          <w:spacing w:val="-2"/>
        </w:rPr>
      </w:r>
      <w:r w:rsidR="00ED73BA">
        <w:rPr>
          <w:rFonts w:ascii="Calibri" w:hAnsi="Calibri"/>
          <w:b/>
          <w:bCs/>
          <w:iCs/>
          <w:spacing w:val="-2"/>
        </w:rPr>
        <w:fldChar w:fldCharType="separate"/>
      </w:r>
      <w:r w:rsidR="00ED73BA">
        <w:rPr>
          <w:rFonts w:ascii="Calibri" w:hAnsi="Calibri"/>
          <w:b/>
          <w:bCs/>
          <w:iCs/>
          <w:noProof/>
          <w:spacing w:val="-2"/>
        </w:rPr>
        <w:t>Dz.U. z 2024 poz. 1320</w:t>
      </w:r>
      <w:r w:rsidR="00ED73B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62-_/2025"/>
            </w:textInput>
          </w:ffData>
        </w:fldChar>
      </w:r>
      <w:bookmarkStart w:id="0" w:name="ozn_spr"/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F21118">
        <w:rPr>
          <w:rFonts w:ascii="Calibri" w:hAnsi="Calibri" w:cs="Calibri"/>
          <w:b/>
          <w:bCs/>
          <w:noProof/>
          <w:spacing w:val="-2"/>
          <w:sz w:val="24"/>
          <w:szCs w:val="22"/>
        </w:rPr>
        <w:t>OG</w:t>
      </w:r>
      <w:r w:rsidR="00A81F58" w:rsidRPr="00A81F58">
        <w:rPr>
          <w:rFonts w:ascii="Calibri" w:hAnsi="Calibri" w:cs="Calibri"/>
          <w:b/>
          <w:bCs/>
          <w:noProof/>
          <w:spacing w:val="-2"/>
          <w:sz w:val="24"/>
          <w:szCs w:val="22"/>
        </w:rPr>
        <w:t>.262.</w:t>
      </w:r>
      <w:r w:rsidR="00F21118">
        <w:rPr>
          <w:rFonts w:ascii="Calibri" w:hAnsi="Calibri" w:cs="Calibri"/>
          <w:b/>
          <w:bCs/>
          <w:noProof/>
          <w:spacing w:val="-2"/>
          <w:sz w:val="24"/>
          <w:szCs w:val="22"/>
        </w:rPr>
        <w:t>32</w:t>
      </w:r>
      <w:r w:rsidR="00A81F58" w:rsidRPr="00A81F58">
        <w:rPr>
          <w:rFonts w:ascii="Calibri" w:hAnsi="Calibri" w:cs="Calibri"/>
          <w:b/>
          <w:bCs/>
          <w:noProof/>
          <w:spacing w:val="-2"/>
          <w:sz w:val="24"/>
          <w:szCs w:val="22"/>
        </w:rPr>
        <w:t>.</w:t>
      </w:r>
      <w:r w:rsidR="00F21118">
        <w:rPr>
          <w:rFonts w:ascii="Calibri" w:hAnsi="Calibri" w:cs="Calibri"/>
          <w:b/>
          <w:bCs/>
          <w:noProof/>
          <w:spacing w:val="-2"/>
          <w:sz w:val="24"/>
          <w:szCs w:val="22"/>
        </w:rPr>
        <w:t>2025</w: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r w:rsidR="00ED73BA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bookmarkStart w:id="1" w:name="Tekst17"/>
      <w:r w:rsidR="00ED73BA">
        <w:rPr>
          <w:rFonts w:ascii="Calibri" w:hAnsi="Calibri" w:cs="Calibri"/>
          <w:b/>
          <w:bCs/>
          <w:szCs w:val="22"/>
        </w:rPr>
        <w:instrText xml:space="preserve"> FORMTEXT </w:instrText>
      </w:r>
      <w:r w:rsidR="00ED73BA">
        <w:rPr>
          <w:rFonts w:ascii="Calibri" w:hAnsi="Calibri" w:cs="Calibri"/>
          <w:b/>
          <w:bCs/>
          <w:szCs w:val="22"/>
        </w:rPr>
      </w:r>
      <w:r w:rsidR="00ED73BA">
        <w:rPr>
          <w:rFonts w:ascii="Calibri" w:hAnsi="Calibri" w:cs="Calibri"/>
          <w:b/>
          <w:bCs/>
          <w:szCs w:val="22"/>
        </w:rPr>
        <w:fldChar w:fldCharType="separate"/>
      </w:r>
      <w:r w:rsidR="00F21118" w:rsidRPr="00F21118">
        <w:rPr>
          <w:rFonts w:ascii="Calibri" w:hAnsi="Calibri" w:cs="Calibri"/>
          <w:b/>
          <w:bCs/>
          <w:noProof/>
          <w:szCs w:val="22"/>
        </w:rPr>
        <w:t>Zakup niszczarek do dokumentów na potrzeby Sądu Okręgowego w Bydgoszczy oraz podległych sądów funkcjonalnych</w:t>
      </w:r>
      <w:r w:rsidR="00ED73BA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F21118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E314E7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</w:t>
      </w:r>
      <w:r w:rsidR="00F21118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14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t.j.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:rsidR="00637B61" w:rsidRPr="00F16A9D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Z postępowania o udzielenie zamówienia publicznego lub konkursu 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(…) 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wyklucza się:</w:t>
      </w:r>
    </w:p>
    <w:p w:rsidR="005F7D5C" w:rsidRPr="00F16A9D" w:rsidRDefault="005F7D5C" w:rsidP="005F7D5C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 wymienionego w wykazach określonych w rozporządzeniu 765/2006 [</w:t>
      </w:r>
      <w:r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(WE) z dnia 18 maja 2006 r. dotyczącym środków ograniczających w związku z sytuacją na Białorusi i udziałem Białorusi w agresji Rosji wobec Ukrainy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] i rozporządzeniu 269/2014 [</w:t>
      </w:r>
      <w:r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] albo wpisanego na listę na podstawie decyzji w sprawie wpisu na listę rozstrzygającej o zastosowaniu środka, o którym mowa w art. 1 pkt 3 [tej ustawy];</w:t>
      </w:r>
    </w:p>
    <w:p w:rsidR="005F7D5C" w:rsidRPr="00F16A9D" w:rsidRDefault="005F7D5C" w:rsidP="005F7D5C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Pr="00CB24C4">
        <w:rPr>
          <w:rFonts w:ascii="Calibri" w:hAnsi="Calibri"/>
          <w:iCs/>
          <w:spacing w:val="-2"/>
          <w:kern w:val="20"/>
          <w:sz w:val="16"/>
          <w:szCs w:val="20"/>
        </w:rPr>
        <w:t xml:space="preserve">Dz. U. z 2023 r. poz. 1124, z </w:t>
      </w:r>
      <w:proofErr w:type="spellStart"/>
      <w:r w:rsidRPr="00CB24C4">
        <w:rPr>
          <w:rFonts w:ascii="Calibri" w:hAnsi="Calibri"/>
          <w:iCs/>
          <w:spacing w:val="-2"/>
          <w:kern w:val="20"/>
          <w:sz w:val="16"/>
          <w:szCs w:val="20"/>
        </w:rPr>
        <w:t>późn</w:t>
      </w:r>
      <w:proofErr w:type="spellEnd"/>
      <w:r w:rsidRPr="00CB24C4">
        <w:rPr>
          <w:rFonts w:ascii="Calibri" w:hAnsi="Calibri"/>
          <w:iCs/>
          <w:spacing w:val="-2"/>
          <w:kern w:val="20"/>
          <w:sz w:val="16"/>
          <w:szCs w:val="20"/>
        </w:rPr>
        <w:t>. zm.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) jest osoba wymieniona w wykazach określonych w</w:t>
      </w:r>
      <w:r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[tej ustawy];</w:t>
      </w:r>
    </w:p>
    <w:p w:rsidR="00637B61" w:rsidRPr="00F16A9D" w:rsidRDefault="005F7D5C" w:rsidP="005F7D5C">
      <w:pPr>
        <w:pStyle w:val="Akapitzlist"/>
        <w:numPr>
          <w:ilvl w:val="0"/>
          <w:numId w:val="9"/>
        </w:numPr>
        <w:tabs>
          <w:tab w:val="left" w:pos="567"/>
        </w:tabs>
        <w:spacing w:after="360" w:line="276" w:lineRule="auto"/>
        <w:ind w:left="567" w:hanging="210"/>
        <w:mirrorIndents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jednostką dominującą w rozumieniu art. 3 ust. 1 pkt 37 ustawy z dnia 29 września 1994 r. o</w:t>
      </w:r>
      <w:r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rachunkowości (</w:t>
      </w:r>
      <w:r w:rsidRPr="00CB24C4">
        <w:rPr>
          <w:rFonts w:ascii="Calibri" w:hAnsi="Calibri"/>
          <w:iCs/>
          <w:spacing w:val="-2"/>
          <w:kern w:val="20"/>
          <w:sz w:val="16"/>
          <w:szCs w:val="20"/>
        </w:rPr>
        <w:t>Dz. U. z 2023 r. poz. 120, 295 i 1598 oraz z 2024 r. poz. 619, 1685 i 1863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) jest podmiot wymieniony w wykazach określonych w</w:t>
      </w:r>
      <w:r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765/2006 i</w:t>
      </w:r>
      <w:r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269/2014 albo wpisany na listę lub będący taką jednostką dominującą od dnia 24 lutego 2022 r., o</w:t>
      </w:r>
      <w:r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ile został wpisany na listę na podstawie decyzji w sprawie wpisu na listę rozstrzygającej o zastosowaniu środka, o którym mowa w art. 1 pkt 3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:rsidTr="00253CE1">
        <w:trPr>
          <w:trHeight w:hRule="exact" w:val="1701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bookmarkStart w:id="4" w:name="_GoBack"/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bookmarkEnd w:id="4"/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</w:t>
            </w:r>
            <w:r w:rsidR="00253CE1">
              <w:rPr>
                <w:rFonts w:ascii="Calibri" w:hAnsi="Calibri"/>
                <w:sz w:val="16"/>
                <w:szCs w:val="16"/>
              </w:rPr>
              <w:t>znacznik graficzny podpisu elektronicznego</w:t>
            </w:r>
          </w:p>
        </w:tc>
      </w:tr>
    </w:tbl>
    <w:p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03" w:rsidRDefault="004E6B03">
      <w:r>
        <w:separator/>
      </w:r>
    </w:p>
  </w:endnote>
  <w:endnote w:type="continuationSeparator" w:id="0">
    <w:p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03" w:rsidRDefault="004E6B03">
      <w:r>
        <w:separator/>
      </w:r>
    </w:p>
  </w:footnote>
  <w:footnote w:type="continuationSeparator" w:id="0">
    <w:p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:rsidRPr="00A81F58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Pr="00A81F58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A81F58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Pr="00A81F58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A81F58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A81F58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 w:rsidRPr="00A81F58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A81F58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21118" w:rsidRPr="00F21118">
            <w:rPr>
              <w:rFonts w:ascii="Calibri" w:hAnsi="Calibri" w:cs="Calibri"/>
              <w:b/>
              <w:bCs/>
              <w:noProof/>
              <w:sz w:val="20"/>
              <w:szCs w:val="20"/>
            </w:rPr>
            <w:t>OG.262.</w:t>
          </w:r>
          <w:r w:rsidR="00F21118" w:rsidRPr="00F21118">
            <w:rPr>
              <w:rFonts w:ascii="Calibri" w:hAnsi="Calibri" w:cs="Calibri"/>
              <w:b/>
              <w:bCs/>
              <w:noProof/>
              <w:spacing w:val="-2"/>
              <w:sz w:val="20"/>
              <w:szCs w:val="20"/>
            </w:rPr>
            <w:t>32.2025</w:t>
          </w:r>
          <w:r w:rsidRPr="00A81F58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q50nS68aLvttaCLSdZINh160GSeTCRTv8QCnFZwXMf3/xm47P+ybiSt7oqri+O5h1meOpaxdaCHPfb1FDXwcA==" w:salt="JQWS5DBt+Qn9cYAyN/M95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53CE1"/>
    <w:rsid w:val="0027784D"/>
    <w:rsid w:val="002A5B70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5F7D5C"/>
    <w:rsid w:val="00637B61"/>
    <w:rsid w:val="006603E6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D091E"/>
    <w:rsid w:val="009F49E3"/>
    <w:rsid w:val="00A0744B"/>
    <w:rsid w:val="00A13420"/>
    <w:rsid w:val="00A47B41"/>
    <w:rsid w:val="00A60059"/>
    <w:rsid w:val="00A81F58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314E7"/>
    <w:rsid w:val="00EB455F"/>
    <w:rsid w:val="00ED73BA"/>
    <w:rsid w:val="00ED78BA"/>
    <w:rsid w:val="00F16A9D"/>
    <w:rsid w:val="00F21118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4250A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53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81F7-5B1B-405D-8324-9B9F9458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2086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Narewski Marcin</cp:lastModifiedBy>
  <cp:revision>17</cp:revision>
  <cp:lastPrinted>2019-03-26T11:57:00Z</cp:lastPrinted>
  <dcterms:created xsi:type="dcterms:W3CDTF">2021-02-04T11:29:00Z</dcterms:created>
  <dcterms:modified xsi:type="dcterms:W3CDTF">2025-05-06T06:19:00Z</dcterms:modified>
</cp:coreProperties>
</file>